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drawings/drawing4.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drawings/drawing5.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drawings/drawing6.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EE676" w14:textId="77777777" w:rsidR="00D816F4" w:rsidRPr="00D816F4" w:rsidRDefault="00D816F4" w:rsidP="00B37AE3">
      <w:pPr>
        <w:pStyle w:val="Btitle"/>
      </w:pPr>
      <w:r w:rsidRPr="00D816F4">
        <w:t>IMPACT OF PM</w:t>
      </w:r>
      <w:r w:rsidRPr="000F4DD8">
        <w:rPr>
          <w:vertAlign w:val="subscript"/>
        </w:rPr>
        <w:t>10</w:t>
      </w:r>
      <w:r w:rsidRPr="00D816F4">
        <w:t xml:space="preserve"> EMISSIONS FROM </w:t>
      </w:r>
      <w:proofErr w:type="gramStart"/>
      <w:r w:rsidRPr="00D816F4">
        <w:t>TRANSPORT</w:t>
      </w:r>
      <w:proofErr w:type="gramEnd"/>
      <w:r w:rsidRPr="00D816F4">
        <w:t xml:space="preserve"> SECTOR ON AIR QUALITY IN THE BUCHAREST-ILFOV AREA  </w:t>
      </w:r>
    </w:p>
    <w:p w14:paraId="79EB498C" w14:textId="08897CDD" w:rsidR="00D816F4" w:rsidRPr="00D816F4" w:rsidRDefault="00D816F4" w:rsidP="00D816F4">
      <w:pPr>
        <w:spacing w:line="360" w:lineRule="auto"/>
        <w:jc w:val="center"/>
        <w:rPr>
          <w:sz w:val="24"/>
          <w:szCs w:val="24"/>
        </w:rPr>
      </w:pPr>
      <w:r w:rsidRPr="00D816F4">
        <w:rPr>
          <w:sz w:val="24"/>
          <w:szCs w:val="24"/>
        </w:rPr>
        <w:t>Alexandra BĂDICEANU</w:t>
      </w:r>
      <w:r w:rsidR="00B37AE3">
        <w:rPr>
          <w:rStyle w:val="FootnoteReference"/>
          <w:sz w:val="24"/>
          <w:szCs w:val="24"/>
        </w:rPr>
        <w:footnoteReference w:id="1"/>
      </w:r>
      <w:r w:rsidRPr="00D816F4">
        <w:rPr>
          <w:sz w:val="24"/>
          <w:szCs w:val="24"/>
        </w:rPr>
        <w:t>, Anca-Florentina POPESCU</w:t>
      </w:r>
      <w:r w:rsidR="00773B58">
        <w:rPr>
          <w:rStyle w:val="FootnoteReference"/>
          <w:sz w:val="24"/>
          <w:szCs w:val="24"/>
        </w:rPr>
        <w:footnoteReference w:id="2"/>
      </w:r>
      <w:r w:rsidRPr="00D816F4">
        <w:rPr>
          <w:sz w:val="24"/>
          <w:szCs w:val="24"/>
          <w:vertAlign w:val="superscript"/>
        </w:rPr>
        <w:t>*</w:t>
      </w:r>
      <w:r w:rsidRPr="00D816F4">
        <w:rPr>
          <w:sz w:val="24"/>
          <w:szCs w:val="24"/>
        </w:rPr>
        <w:t>, Alexandru-Ioan BALINT</w:t>
      </w:r>
      <w:r w:rsidR="00773B58">
        <w:rPr>
          <w:rStyle w:val="FootnoteReference"/>
          <w:sz w:val="24"/>
          <w:szCs w:val="24"/>
        </w:rPr>
        <w:footnoteReference w:id="3"/>
      </w:r>
      <w:r w:rsidRPr="00D816F4">
        <w:rPr>
          <w:sz w:val="24"/>
          <w:szCs w:val="24"/>
          <w:vertAlign w:val="superscript"/>
        </w:rPr>
        <w:t>*</w:t>
      </w:r>
      <w:r w:rsidRPr="00D816F4">
        <w:rPr>
          <w:sz w:val="24"/>
          <w:szCs w:val="24"/>
        </w:rPr>
        <w:t>, Ecaterina MATEI</w:t>
      </w:r>
      <w:r w:rsidR="00773B58">
        <w:rPr>
          <w:rStyle w:val="FootnoteReference"/>
          <w:sz w:val="24"/>
          <w:szCs w:val="24"/>
        </w:rPr>
        <w:footnoteReference w:id="4"/>
      </w:r>
      <w:r w:rsidRPr="00D816F4">
        <w:rPr>
          <w:sz w:val="24"/>
          <w:szCs w:val="24"/>
          <w:vertAlign w:val="superscript"/>
        </w:rPr>
        <w:t>*</w:t>
      </w:r>
    </w:p>
    <w:p w14:paraId="52717413" w14:textId="77777777" w:rsidR="00D816F4" w:rsidRPr="00D816F4" w:rsidRDefault="00D816F4" w:rsidP="00D816F4">
      <w:pPr>
        <w:spacing w:line="360" w:lineRule="auto"/>
        <w:jc w:val="center"/>
        <w:rPr>
          <w:i/>
          <w:color w:val="0000FF"/>
          <w:u w:val="single"/>
        </w:rPr>
      </w:pPr>
    </w:p>
    <w:p w14:paraId="657ED7CA" w14:textId="1D2C3022" w:rsidR="00D816F4" w:rsidRDefault="00D816F4" w:rsidP="00D816F4">
      <w:pPr>
        <w:ind w:left="567" w:right="567" w:firstLine="567"/>
        <w:jc w:val="both"/>
        <w:rPr>
          <w:i/>
        </w:rPr>
      </w:pPr>
      <w:r w:rsidRPr="00D816F4">
        <w:rPr>
          <w:i/>
        </w:rPr>
        <w:t xml:space="preserve">The present paper </w:t>
      </w:r>
      <w:r w:rsidR="00E32453" w:rsidRPr="00D816F4">
        <w:rPr>
          <w:i/>
        </w:rPr>
        <w:t>focuses</w:t>
      </w:r>
      <w:r w:rsidRPr="00D816F4">
        <w:rPr>
          <w:i/>
        </w:rPr>
        <w:t xml:space="preserve"> on PM</w:t>
      </w:r>
      <w:r w:rsidRPr="00D816F4">
        <w:rPr>
          <w:i/>
          <w:vertAlign w:val="subscript"/>
        </w:rPr>
        <w:t>10</w:t>
      </w:r>
      <w:r w:rsidRPr="00D816F4">
        <w:rPr>
          <w:i/>
        </w:rPr>
        <w:t xml:space="preserve"> particulate matter emission’s impact on air quality in the Bucharest-Ilfov region, induced by transport sector’s activities, to improve the environmental requirements of the inhabitants. PM</w:t>
      </w:r>
      <w:r w:rsidRPr="00D816F4">
        <w:rPr>
          <w:i/>
          <w:vertAlign w:val="subscript"/>
        </w:rPr>
        <w:t>10</w:t>
      </w:r>
      <w:r w:rsidRPr="00D816F4">
        <w:rPr>
          <w:i/>
        </w:rPr>
        <w:t xml:space="preserve"> data were analyzed as pollutants from transport domain, from eight monitoring stations located in the urban area, between 2019-2023. During the study it was observed that in the peri-urban areas, the PM</w:t>
      </w:r>
      <w:r w:rsidRPr="00D816F4">
        <w:rPr>
          <w:i/>
          <w:vertAlign w:val="subscript"/>
        </w:rPr>
        <w:t>10</w:t>
      </w:r>
      <w:r w:rsidRPr="00D816F4">
        <w:rPr>
          <w:i/>
        </w:rPr>
        <w:t xml:space="preserve"> concentrations were lower and no exceedances of the limits of these pollutants were registered.  </w:t>
      </w:r>
    </w:p>
    <w:p w14:paraId="4544D9B7" w14:textId="77777777" w:rsidR="00E32453" w:rsidRPr="00D816F4" w:rsidRDefault="00E32453" w:rsidP="00D816F4">
      <w:pPr>
        <w:ind w:left="567" w:right="567" w:firstLine="567"/>
        <w:jc w:val="both"/>
        <w:rPr>
          <w:i/>
        </w:rPr>
      </w:pPr>
    </w:p>
    <w:p w14:paraId="20913886" w14:textId="48E31777" w:rsidR="00D816F4" w:rsidRDefault="00D816F4" w:rsidP="00E32453">
      <w:pPr>
        <w:jc w:val="both"/>
        <w:rPr>
          <w:sz w:val="24"/>
          <w:szCs w:val="24"/>
        </w:rPr>
      </w:pPr>
      <w:r w:rsidRPr="00D816F4">
        <w:rPr>
          <w:b/>
          <w:bCs/>
          <w:sz w:val="24"/>
          <w:szCs w:val="24"/>
        </w:rPr>
        <w:t>Keywords</w:t>
      </w:r>
      <w:r w:rsidRPr="00D816F4">
        <w:rPr>
          <w:sz w:val="24"/>
          <w:szCs w:val="24"/>
        </w:rPr>
        <w:t>: Air pollution; PM</w:t>
      </w:r>
      <w:r w:rsidRPr="00D816F4">
        <w:rPr>
          <w:sz w:val="24"/>
          <w:szCs w:val="24"/>
          <w:vertAlign w:val="subscript"/>
        </w:rPr>
        <w:t>10</w:t>
      </w:r>
      <w:r w:rsidRPr="00D816F4">
        <w:rPr>
          <w:sz w:val="24"/>
          <w:szCs w:val="24"/>
        </w:rPr>
        <w:t>; Transport emissions</w:t>
      </w:r>
    </w:p>
    <w:p w14:paraId="4F4EF643" w14:textId="77777777" w:rsidR="00E32453" w:rsidRPr="00D816F4" w:rsidRDefault="00E32453" w:rsidP="00E32453">
      <w:pPr>
        <w:jc w:val="both"/>
        <w:rPr>
          <w:i/>
          <w:sz w:val="24"/>
          <w:szCs w:val="24"/>
        </w:rPr>
      </w:pPr>
    </w:p>
    <w:p w14:paraId="7E324025" w14:textId="77777777" w:rsidR="00D816F4" w:rsidRPr="00D816F4" w:rsidRDefault="00D816F4">
      <w:pPr>
        <w:numPr>
          <w:ilvl w:val="0"/>
          <w:numId w:val="1"/>
        </w:numPr>
        <w:ind w:left="1077" w:hanging="357"/>
        <w:jc w:val="both"/>
        <w:rPr>
          <w:b/>
          <w:bCs/>
          <w:sz w:val="24"/>
          <w:szCs w:val="24"/>
        </w:rPr>
      </w:pPr>
      <w:r w:rsidRPr="00D816F4">
        <w:rPr>
          <w:b/>
          <w:bCs/>
          <w:sz w:val="24"/>
          <w:szCs w:val="24"/>
        </w:rPr>
        <w:t>Introduction</w:t>
      </w:r>
    </w:p>
    <w:p w14:paraId="0ED6F3EE" w14:textId="77777777" w:rsidR="00E32453" w:rsidRDefault="00E32453" w:rsidP="00B37AE3">
      <w:pPr>
        <w:ind w:firstLine="720"/>
        <w:jc w:val="both"/>
        <w:rPr>
          <w:bCs/>
          <w:sz w:val="24"/>
          <w:szCs w:val="24"/>
        </w:rPr>
      </w:pPr>
    </w:p>
    <w:p w14:paraId="68D3D8FB" w14:textId="0D9DB86E" w:rsidR="00D816F4" w:rsidRPr="00D816F4" w:rsidRDefault="00D816F4" w:rsidP="00B37AE3">
      <w:pPr>
        <w:ind w:firstLine="720"/>
        <w:jc w:val="both"/>
        <w:rPr>
          <w:bCs/>
          <w:sz w:val="24"/>
          <w:szCs w:val="24"/>
          <w:lang w:val="en-GB"/>
        </w:rPr>
      </w:pPr>
      <w:r w:rsidRPr="00D816F4">
        <w:rPr>
          <w:bCs/>
          <w:sz w:val="24"/>
          <w:szCs w:val="24"/>
        </w:rPr>
        <w:t xml:space="preserve">Recently, the growing awareness of the </w:t>
      </w:r>
      <w:r w:rsidR="000F4DD8" w:rsidRPr="00D816F4">
        <w:rPr>
          <w:bCs/>
          <w:sz w:val="24"/>
          <w:szCs w:val="24"/>
        </w:rPr>
        <w:t>effects of environmental pollution</w:t>
      </w:r>
      <w:r w:rsidRPr="00D816F4">
        <w:rPr>
          <w:bCs/>
          <w:sz w:val="24"/>
          <w:szCs w:val="24"/>
        </w:rPr>
        <w:t xml:space="preserve">, mainly caused by activities </w:t>
      </w:r>
      <w:r w:rsidR="00693153" w:rsidRPr="00D816F4">
        <w:rPr>
          <w:bCs/>
          <w:sz w:val="24"/>
          <w:szCs w:val="24"/>
        </w:rPr>
        <w:t>in</w:t>
      </w:r>
      <w:r w:rsidRPr="00D816F4">
        <w:rPr>
          <w:bCs/>
          <w:sz w:val="24"/>
          <w:szCs w:val="24"/>
        </w:rPr>
        <w:t xml:space="preserve"> the transport sector, has led to a </w:t>
      </w:r>
      <w:r w:rsidR="00E32453" w:rsidRPr="00D816F4">
        <w:rPr>
          <w:bCs/>
          <w:sz w:val="24"/>
          <w:szCs w:val="24"/>
        </w:rPr>
        <w:t>focus on</w:t>
      </w:r>
      <w:r w:rsidRPr="00D816F4">
        <w:rPr>
          <w:bCs/>
          <w:sz w:val="24"/>
          <w:szCs w:val="24"/>
        </w:rPr>
        <w:t xml:space="preserve"> this question. Recent studies indicated that the entire transport sector contributes 21% of total CO</w:t>
      </w:r>
      <w:r w:rsidRPr="00D816F4">
        <w:rPr>
          <w:bCs/>
          <w:sz w:val="24"/>
          <w:szCs w:val="24"/>
          <w:vertAlign w:val="subscript"/>
        </w:rPr>
        <w:t>2</w:t>
      </w:r>
      <w:r w:rsidRPr="00D816F4">
        <w:rPr>
          <w:bCs/>
          <w:sz w:val="24"/>
          <w:szCs w:val="24"/>
        </w:rPr>
        <w:t xml:space="preserve"> emissions, and road transport accounts for 15% of these emissions. It is also specified that road trips account for three-quarters of the emissions sourcing from transport, of which 45.1% from the passenger vehicles, the rest from cargo trucks [1 - 4].  The transport industry provides essential mobility services for people and products at national and international level; in addition, it stimulates trade and business by enabling goods and people to be easily transferred between different regions and countries without distance constraints; though, the transport sector's activity has negative impacts on the environment and human health [5].</w:t>
      </w:r>
    </w:p>
    <w:p w14:paraId="2237F3AC" w14:textId="77777777" w:rsidR="00D816F4" w:rsidRPr="00D816F4" w:rsidRDefault="00D816F4" w:rsidP="00B37AE3">
      <w:pPr>
        <w:ind w:firstLine="720"/>
        <w:jc w:val="both"/>
        <w:rPr>
          <w:bCs/>
          <w:sz w:val="24"/>
          <w:szCs w:val="24"/>
          <w:lang w:val="en-GB"/>
        </w:rPr>
      </w:pPr>
      <w:r w:rsidRPr="00D816F4">
        <w:rPr>
          <w:bCs/>
          <w:sz w:val="24"/>
          <w:szCs w:val="24"/>
          <w:lang w:val="en-GB"/>
        </w:rPr>
        <w:t xml:space="preserve">Air pollution is one of the major concerns, with greenhouse gas emissions constantly increasing, contributing to the global warming effect and compromising </w:t>
      </w:r>
      <w:r w:rsidRPr="00D816F4">
        <w:rPr>
          <w:bCs/>
          <w:sz w:val="24"/>
          <w:szCs w:val="24"/>
          <w:lang w:val="en-GB"/>
        </w:rPr>
        <w:lastRenderedPageBreak/>
        <w:t xml:space="preserve">the European Union's targets, to reduce emissions up to 55% by 2030, compared to 1990 levels, and to achieve zero net emissions by 2050 [6]. </w:t>
      </w:r>
    </w:p>
    <w:p w14:paraId="4A6F034A" w14:textId="77777777" w:rsidR="00D816F4" w:rsidRPr="00D816F4" w:rsidRDefault="00D816F4" w:rsidP="00B37AE3">
      <w:pPr>
        <w:jc w:val="both"/>
        <w:rPr>
          <w:bCs/>
          <w:sz w:val="12"/>
          <w:szCs w:val="12"/>
          <w:lang w:val="en-GB"/>
        </w:rPr>
      </w:pPr>
    </w:p>
    <w:p w14:paraId="1FDE057A" w14:textId="77777777" w:rsidR="00D816F4" w:rsidRPr="00D816F4" w:rsidRDefault="00D816F4" w:rsidP="00B37AE3">
      <w:pPr>
        <w:ind w:firstLine="720"/>
        <w:jc w:val="both"/>
        <w:rPr>
          <w:bCs/>
          <w:sz w:val="24"/>
          <w:szCs w:val="24"/>
          <w:lang w:val="en-GB"/>
        </w:rPr>
      </w:pPr>
      <w:r w:rsidRPr="00D816F4">
        <w:rPr>
          <w:bCs/>
          <w:sz w:val="24"/>
          <w:szCs w:val="24"/>
          <w:lang w:val="en-GB"/>
        </w:rPr>
        <w:t>EU greenhouse gas emissions were reduced by 24% between 1990 and 2019, while the economy expanded by 60% during the same period. Furthermore, between 2000 and 2021, particulate matter (PM</w:t>
      </w:r>
      <w:r w:rsidRPr="00D816F4">
        <w:rPr>
          <w:bCs/>
          <w:sz w:val="24"/>
          <w:szCs w:val="24"/>
          <w:vertAlign w:val="subscript"/>
          <w:lang w:val="en-GB"/>
        </w:rPr>
        <w:t>10</w:t>
      </w:r>
      <w:r w:rsidRPr="00D816F4">
        <w:rPr>
          <w:bCs/>
          <w:sz w:val="24"/>
          <w:szCs w:val="24"/>
          <w:lang w:val="en-GB"/>
        </w:rPr>
        <w:t xml:space="preserve"> and PM</w:t>
      </w:r>
      <w:r w:rsidRPr="00D816F4">
        <w:rPr>
          <w:bCs/>
          <w:sz w:val="24"/>
          <w:szCs w:val="24"/>
          <w:vertAlign w:val="subscript"/>
          <w:lang w:val="en-GB"/>
        </w:rPr>
        <w:t>2,5</w:t>
      </w:r>
      <w:r w:rsidRPr="00D816F4">
        <w:rPr>
          <w:bCs/>
          <w:sz w:val="24"/>
          <w:szCs w:val="24"/>
          <w:lang w:val="en-GB"/>
        </w:rPr>
        <w:t>) emissions from the transportation sector for 27 EU Member States decreased by 47% and 56% respectively [6,7]. Particulate matter (PM) is generated by internal combustion engines [8,9]. These particles represent a serious concern because it can induce significant ad-verse effects on the environment and human health. PM</w:t>
      </w:r>
      <w:r w:rsidRPr="00D816F4">
        <w:rPr>
          <w:bCs/>
          <w:sz w:val="24"/>
          <w:szCs w:val="24"/>
          <w:vertAlign w:val="subscript"/>
          <w:lang w:val="en-GB"/>
        </w:rPr>
        <w:t>10</w:t>
      </w:r>
      <w:r w:rsidRPr="00D816F4">
        <w:rPr>
          <w:bCs/>
          <w:sz w:val="24"/>
          <w:szCs w:val="24"/>
          <w:lang w:val="en-GB"/>
        </w:rPr>
        <w:t xml:space="preserve"> is one of the main pollutants associated with air pollution costs [11-13]. In addition, through short-term and long-term exposure to PM</w:t>
      </w:r>
      <w:r w:rsidRPr="00D816F4">
        <w:rPr>
          <w:bCs/>
          <w:sz w:val="24"/>
          <w:szCs w:val="24"/>
          <w:vertAlign w:val="subscript"/>
          <w:lang w:val="en-GB"/>
        </w:rPr>
        <w:t>10</w:t>
      </w:r>
      <w:r w:rsidRPr="00D816F4">
        <w:rPr>
          <w:bCs/>
          <w:sz w:val="24"/>
          <w:szCs w:val="24"/>
          <w:lang w:val="en-GB"/>
        </w:rPr>
        <w:t>, health costs started to rise due to increased human morbidity and mortality rates [14]. Currently, studies are being carried out, which indicate that housing prices are influenced by air pollution and especially by PM</w:t>
      </w:r>
      <w:r w:rsidRPr="00D816F4">
        <w:rPr>
          <w:bCs/>
          <w:sz w:val="24"/>
          <w:szCs w:val="24"/>
          <w:vertAlign w:val="subscript"/>
          <w:lang w:val="en-GB"/>
        </w:rPr>
        <w:t>10</w:t>
      </w:r>
      <w:r w:rsidRPr="00D816F4">
        <w:rPr>
          <w:bCs/>
          <w:sz w:val="24"/>
          <w:szCs w:val="24"/>
          <w:lang w:val="en-GB"/>
        </w:rPr>
        <w:t xml:space="preserve"> [15,16]. These particles are fine enough to be inhaled, so they can deeply penetrate the respiratory system, which can cause a variety of health damages such as: asthma, chronic bronchitis and other pulmonary pathologies. In the transportation industry they are generated by traffic emissions, industrial activities and fuel combustion. Long exposure to these particles can aggravate cardiovascular risks and impact vulnerable people including children, the aged and others with pre-existing disorders [17-20]. Monitoring atmospheric PM levels is a pressing requirement to secure public health, considering that these particles also contain heavy metals [10, 21]. The existing studies that analysed the effects of PM</w:t>
      </w:r>
      <w:r w:rsidRPr="00D816F4">
        <w:rPr>
          <w:bCs/>
          <w:sz w:val="24"/>
          <w:szCs w:val="24"/>
          <w:vertAlign w:val="subscript"/>
          <w:lang w:val="en-GB"/>
        </w:rPr>
        <w:t xml:space="preserve">2,5 </w:t>
      </w:r>
      <w:r w:rsidRPr="00D816F4">
        <w:rPr>
          <w:bCs/>
          <w:sz w:val="24"/>
          <w:szCs w:val="24"/>
          <w:lang w:val="en-GB"/>
        </w:rPr>
        <w:t>and PM</w:t>
      </w:r>
      <w:r w:rsidRPr="00D816F4">
        <w:rPr>
          <w:bCs/>
          <w:sz w:val="24"/>
          <w:szCs w:val="24"/>
          <w:vertAlign w:val="subscript"/>
          <w:lang w:val="en-GB"/>
        </w:rPr>
        <w:t>10</w:t>
      </w:r>
      <w:r w:rsidRPr="00D816F4">
        <w:rPr>
          <w:bCs/>
          <w:sz w:val="24"/>
          <w:szCs w:val="24"/>
          <w:lang w:val="en-GB"/>
        </w:rPr>
        <w:t xml:space="preserve"> on human health in Central -Eastern Europe and in Romania are not focused on this evaluation [22-24]. </w:t>
      </w:r>
    </w:p>
    <w:p w14:paraId="2384D9C3" w14:textId="77777777" w:rsidR="00D816F4" w:rsidRPr="00D816F4" w:rsidRDefault="00D816F4" w:rsidP="00B37AE3">
      <w:pPr>
        <w:ind w:firstLine="720"/>
        <w:jc w:val="both"/>
        <w:rPr>
          <w:bCs/>
          <w:sz w:val="24"/>
          <w:szCs w:val="24"/>
          <w:lang w:val="en-GB"/>
        </w:rPr>
      </w:pPr>
      <w:r w:rsidRPr="00D816F4">
        <w:rPr>
          <w:bCs/>
          <w:sz w:val="24"/>
          <w:szCs w:val="24"/>
          <w:lang w:val="en-GB"/>
        </w:rPr>
        <w:t>Bucharest has the largest public transportation network in Romania and one of the largest in Europe. To this are added road, rail and air transport hubs. The public transport network is split into a metro system, combined with three modes of surface transport: trams, buses and trolleybuses [25]. The covered area by public transport in Bucharest is 1335 km</w:t>
      </w:r>
      <w:r w:rsidRPr="00D816F4">
        <w:rPr>
          <w:bCs/>
          <w:sz w:val="24"/>
          <w:szCs w:val="24"/>
          <w:vertAlign w:val="superscript"/>
          <w:lang w:val="en-GB"/>
        </w:rPr>
        <w:t>2</w:t>
      </w:r>
      <w:r w:rsidRPr="00D816F4">
        <w:rPr>
          <w:bCs/>
          <w:sz w:val="24"/>
          <w:szCs w:val="24"/>
          <w:lang w:val="en-GB"/>
        </w:rPr>
        <w:t>, of which 240 km</w:t>
      </w:r>
      <w:r w:rsidRPr="00D816F4">
        <w:rPr>
          <w:bCs/>
          <w:sz w:val="24"/>
          <w:szCs w:val="24"/>
          <w:vertAlign w:val="superscript"/>
          <w:lang w:val="en-GB"/>
        </w:rPr>
        <w:t>2</w:t>
      </w:r>
      <w:r w:rsidRPr="00D816F4">
        <w:rPr>
          <w:bCs/>
          <w:sz w:val="24"/>
          <w:szCs w:val="24"/>
          <w:lang w:val="en-GB"/>
        </w:rPr>
        <w:t xml:space="preserve"> are in the urban area. The length of Bucharest's public transport network (double track) is 726 km, of which 136 km are trams, 72 trolleybuses and 722 buses (422 in the metropolitan area and 300 in the regional zone). The total number of vehicles operated by STB - S.A. is 2432, corresponding to 1640 buses, 527 trams and 265 trolleybuses, which operates 1.071 million passenger trips [26]. As a rule, when the background concentration is high, the relative number of emissions is low and vice versa, which limits the effect of the measures when the background concentrations are high. [27, 28] An advanced indicator of the parameter's characterization in terms of the environmental impact of PM is their composition, which can provide insights about the source of emission in different locations and the dynamics of the particles in the atmosphere [29]. They can be long-distanced but can also impact on the local area in which they are produced. </w:t>
      </w:r>
    </w:p>
    <w:p w14:paraId="3AA2C969" w14:textId="77777777" w:rsidR="00D816F4" w:rsidRPr="00D816F4" w:rsidRDefault="00D816F4" w:rsidP="00B37AE3">
      <w:pPr>
        <w:ind w:firstLine="720"/>
        <w:jc w:val="both"/>
        <w:rPr>
          <w:bCs/>
          <w:sz w:val="24"/>
          <w:szCs w:val="24"/>
          <w:lang w:val="en-GB"/>
        </w:rPr>
      </w:pPr>
      <w:r w:rsidRPr="00D816F4">
        <w:rPr>
          <w:bCs/>
          <w:sz w:val="24"/>
          <w:szCs w:val="24"/>
          <w:lang w:val="en-GB"/>
        </w:rPr>
        <w:lastRenderedPageBreak/>
        <w:t>This study has included a comprehensive analysis of PM</w:t>
      </w:r>
      <w:r w:rsidRPr="00D816F4">
        <w:rPr>
          <w:bCs/>
          <w:sz w:val="24"/>
          <w:szCs w:val="24"/>
          <w:vertAlign w:val="subscript"/>
          <w:lang w:val="en-GB"/>
        </w:rPr>
        <w:t>10</w:t>
      </w:r>
      <w:r w:rsidRPr="00D816F4">
        <w:rPr>
          <w:bCs/>
          <w:sz w:val="24"/>
          <w:szCs w:val="24"/>
          <w:lang w:val="en-GB"/>
        </w:rPr>
        <w:t xml:space="preserve"> emissions, focusing on the Bucharest-Ilfov region in the period 2019-2023, in the context that a relevant number of cars generates daily traffic jams in this area, significantly contributing to air pollution. As a result, the effects of PM emissions on the urban environment and its inhabitants were analysed, pointing out the urgency of specific actions and environ-mental policies to mitigate all negative impacts.</w:t>
      </w:r>
    </w:p>
    <w:p w14:paraId="12158422" w14:textId="77777777" w:rsidR="00D816F4" w:rsidRPr="00D816F4" w:rsidRDefault="00D816F4" w:rsidP="009D2DF4">
      <w:pPr>
        <w:ind w:firstLine="720"/>
        <w:jc w:val="both"/>
        <w:rPr>
          <w:bCs/>
          <w:sz w:val="24"/>
          <w:szCs w:val="24"/>
          <w:lang w:val="en-GB"/>
        </w:rPr>
      </w:pPr>
    </w:p>
    <w:p w14:paraId="5E7ACEA9" w14:textId="77777777" w:rsidR="00D816F4" w:rsidRPr="00D816F4" w:rsidRDefault="00D816F4">
      <w:pPr>
        <w:numPr>
          <w:ilvl w:val="0"/>
          <w:numId w:val="1"/>
        </w:numPr>
        <w:adjustRightInd w:val="0"/>
        <w:snapToGrid w:val="0"/>
        <w:spacing w:after="240" w:line="360" w:lineRule="auto"/>
        <w:jc w:val="both"/>
        <w:rPr>
          <w:b/>
          <w:sz w:val="24"/>
          <w:szCs w:val="24"/>
          <w:lang w:val="en-GB"/>
        </w:rPr>
      </w:pPr>
      <w:r w:rsidRPr="00D816F4">
        <w:rPr>
          <w:b/>
          <w:sz w:val="24"/>
          <w:szCs w:val="24"/>
          <w:lang w:val="en-GB"/>
        </w:rPr>
        <w:t>Materials and Methods</w:t>
      </w:r>
    </w:p>
    <w:p w14:paraId="28572015" w14:textId="77777777" w:rsidR="00D816F4" w:rsidRPr="00D816F4" w:rsidRDefault="00D816F4" w:rsidP="00B37AE3">
      <w:pPr>
        <w:adjustRightInd w:val="0"/>
        <w:snapToGrid w:val="0"/>
        <w:spacing w:after="240"/>
        <w:ind w:firstLine="709"/>
        <w:jc w:val="both"/>
        <w:rPr>
          <w:bCs/>
          <w:sz w:val="24"/>
          <w:szCs w:val="24"/>
          <w:lang w:val="en-GB"/>
        </w:rPr>
      </w:pPr>
      <w:r w:rsidRPr="00D816F4">
        <w:rPr>
          <w:bCs/>
          <w:sz w:val="24"/>
          <w:szCs w:val="24"/>
          <w:lang w:val="en-GB"/>
        </w:rPr>
        <w:t>PM</w:t>
      </w:r>
      <w:r w:rsidRPr="00D816F4">
        <w:rPr>
          <w:bCs/>
          <w:sz w:val="24"/>
          <w:szCs w:val="24"/>
          <w:vertAlign w:val="subscript"/>
          <w:lang w:val="en-GB"/>
        </w:rPr>
        <w:t>10</w:t>
      </w:r>
      <w:r w:rsidRPr="00D816F4">
        <w:rPr>
          <w:bCs/>
          <w:sz w:val="24"/>
          <w:szCs w:val="24"/>
          <w:lang w:val="en-GB"/>
        </w:rPr>
        <w:t xml:space="preserve"> are particulate matter which are passing through a sorting grid as defined in SR EN 12341, which is the reference method for the measurement and monitoring of PM</w:t>
      </w:r>
      <w:r w:rsidRPr="00D816F4">
        <w:rPr>
          <w:bCs/>
          <w:sz w:val="24"/>
          <w:szCs w:val="24"/>
          <w:vertAlign w:val="subscript"/>
          <w:lang w:val="en-GB"/>
        </w:rPr>
        <w:t>10</w:t>
      </w:r>
      <w:r w:rsidRPr="00D816F4">
        <w:rPr>
          <w:bCs/>
          <w:sz w:val="24"/>
          <w:szCs w:val="24"/>
          <w:lang w:val="en-GB"/>
        </w:rPr>
        <w:t>, with a sampling efficiency of 50% for aerodynamic diameter of 10 or 2.5µ, as applicable [30]. In accordance with Annex 3 of Law no. 104 of 2011 on Ambient Air Quality the PM</w:t>
      </w:r>
      <w:r w:rsidRPr="00D816F4">
        <w:rPr>
          <w:bCs/>
          <w:sz w:val="24"/>
          <w:szCs w:val="24"/>
          <w:vertAlign w:val="subscript"/>
          <w:lang w:val="en-GB"/>
        </w:rPr>
        <w:t>10</w:t>
      </w:r>
      <w:r w:rsidRPr="00D816F4">
        <w:rPr>
          <w:bCs/>
          <w:sz w:val="24"/>
          <w:szCs w:val="24"/>
          <w:lang w:val="en-GB"/>
        </w:rPr>
        <w:t xml:space="preserve"> concentration is determined by reference to the lower assessment limit, with the value of 25 µg/m³ - the daily average not to be exceeded more than 35 times in a year calendar and 20 µg/m³ - the annual average; the upper assessment threshold, with a value of 35 µg/m³ - daily mean not to be exceeded more than 35 times in any calendar year and 28 µg/m³ - annual mean; daily limit value 50 µg/m³, not to be exceeded more than 35 times in any calendar year; annual limit value 40 µg/m³, as set out in Table 1 below.</w:t>
      </w:r>
    </w:p>
    <w:p w14:paraId="5BB0A96D" w14:textId="77777777" w:rsidR="00E32453" w:rsidRPr="00E32453" w:rsidRDefault="00D816F4" w:rsidP="00E32453">
      <w:pPr>
        <w:ind w:firstLine="720"/>
        <w:jc w:val="right"/>
        <w:rPr>
          <w:i/>
          <w:iCs/>
        </w:rPr>
      </w:pPr>
      <w:r w:rsidRPr="00D816F4">
        <w:rPr>
          <w:i/>
          <w:iCs/>
        </w:rPr>
        <w:t xml:space="preserve">Table 1 </w:t>
      </w:r>
    </w:p>
    <w:p w14:paraId="317694AE" w14:textId="0055191A" w:rsidR="00D816F4" w:rsidRPr="00D816F4" w:rsidRDefault="00D816F4" w:rsidP="00E32453">
      <w:pPr>
        <w:jc w:val="center"/>
        <w:rPr>
          <w:b/>
          <w:bCs/>
        </w:rPr>
      </w:pPr>
      <w:r w:rsidRPr="00D816F4">
        <w:rPr>
          <w:b/>
          <w:bCs/>
        </w:rPr>
        <w:t>PM limit thresholds according to Law 104 of June 15, 2011, on Ambient Air Quality</w:t>
      </w:r>
    </w:p>
    <w:tbl>
      <w:tblPr>
        <w:tblStyle w:val="TableGrid2"/>
        <w:tblW w:w="6143" w:type="dxa"/>
        <w:jc w:val="center"/>
        <w:tblLook w:val="04A0" w:firstRow="1" w:lastRow="0" w:firstColumn="1" w:lastColumn="0" w:noHBand="0" w:noVBand="1"/>
      </w:tblPr>
      <w:tblGrid>
        <w:gridCol w:w="706"/>
        <w:gridCol w:w="1047"/>
        <w:gridCol w:w="1047"/>
        <w:gridCol w:w="1035"/>
        <w:gridCol w:w="1041"/>
        <w:gridCol w:w="1267"/>
      </w:tblGrid>
      <w:tr w:rsidR="00D816F4" w:rsidRPr="00D816F4" w14:paraId="67541492" w14:textId="77777777" w:rsidTr="006B4AD5">
        <w:trPr>
          <w:jc w:val="center"/>
        </w:trPr>
        <w:tc>
          <w:tcPr>
            <w:tcW w:w="706" w:type="dxa"/>
            <w:vMerge w:val="restart"/>
          </w:tcPr>
          <w:p w14:paraId="2D32A2E4" w14:textId="77777777" w:rsidR="00D816F4" w:rsidRPr="00D816F4" w:rsidRDefault="00D816F4" w:rsidP="00E32453">
            <w:pPr>
              <w:adjustRightInd w:val="0"/>
              <w:snapToGrid w:val="0"/>
              <w:ind w:firstLine="33"/>
              <w:jc w:val="center"/>
              <w:rPr>
                <w:rFonts w:ascii="Times New Roman" w:hAnsi="Times New Roman"/>
                <w:bCs/>
                <w:sz w:val="20"/>
                <w:szCs w:val="20"/>
                <w:lang w:val="en-GB"/>
              </w:rPr>
            </w:pPr>
            <w:r w:rsidRPr="00D816F4">
              <w:rPr>
                <w:rFonts w:ascii="Times New Roman" w:hAnsi="Times New Roman"/>
                <w:bCs/>
                <w:sz w:val="20"/>
                <w:szCs w:val="20"/>
                <w:lang w:val="en-GB"/>
              </w:rPr>
              <w:t>PM</w:t>
            </w:r>
          </w:p>
        </w:tc>
        <w:tc>
          <w:tcPr>
            <w:tcW w:w="2094" w:type="dxa"/>
            <w:gridSpan w:val="2"/>
          </w:tcPr>
          <w:p w14:paraId="0A9FC9D7" w14:textId="77777777" w:rsidR="00D816F4" w:rsidRPr="00D816F4" w:rsidRDefault="00D816F4" w:rsidP="00E32453">
            <w:pPr>
              <w:adjustRightInd w:val="0"/>
              <w:snapToGrid w:val="0"/>
              <w:ind w:firstLine="44"/>
              <w:jc w:val="center"/>
              <w:rPr>
                <w:rFonts w:ascii="Times New Roman" w:hAnsi="Times New Roman"/>
                <w:bCs/>
                <w:sz w:val="20"/>
                <w:szCs w:val="20"/>
                <w:lang w:val="en-GB"/>
              </w:rPr>
            </w:pPr>
            <w:r w:rsidRPr="00D816F4">
              <w:rPr>
                <w:rFonts w:ascii="Times New Roman" w:hAnsi="Times New Roman"/>
                <w:bCs/>
                <w:sz w:val="20"/>
                <w:szCs w:val="20"/>
                <w:lang w:val="en-GB"/>
              </w:rPr>
              <w:t>Daily average</w:t>
            </w:r>
          </w:p>
        </w:tc>
        <w:tc>
          <w:tcPr>
            <w:tcW w:w="2076" w:type="dxa"/>
            <w:gridSpan w:val="2"/>
          </w:tcPr>
          <w:p w14:paraId="2F0EFBBF" w14:textId="77777777" w:rsidR="00D816F4" w:rsidRPr="00D816F4" w:rsidRDefault="00D816F4" w:rsidP="00E32453">
            <w:pPr>
              <w:adjustRightInd w:val="0"/>
              <w:snapToGrid w:val="0"/>
              <w:ind w:firstLine="44"/>
              <w:jc w:val="center"/>
              <w:rPr>
                <w:rFonts w:ascii="Times New Roman" w:hAnsi="Times New Roman"/>
                <w:bCs/>
                <w:sz w:val="20"/>
                <w:szCs w:val="20"/>
                <w:lang w:val="en-GB"/>
              </w:rPr>
            </w:pPr>
            <w:r w:rsidRPr="00D816F4">
              <w:rPr>
                <w:rFonts w:ascii="Times New Roman" w:hAnsi="Times New Roman"/>
                <w:bCs/>
                <w:sz w:val="20"/>
                <w:szCs w:val="20"/>
                <w:lang w:val="en-GB"/>
              </w:rPr>
              <w:t>Annual average</w:t>
            </w:r>
          </w:p>
        </w:tc>
        <w:tc>
          <w:tcPr>
            <w:tcW w:w="1267" w:type="dxa"/>
          </w:tcPr>
          <w:p w14:paraId="6CDCA287" w14:textId="77777777" w:rsidR="00D816F4" w:rsidRPr="00D816F4" w:rsidRDefault="00D816F4" w:rsidP="00E32453">
            <w:pPr>
              <w:adjustRightInd w:val="0"/>
              <w:snapToGrid w:val="0"/>
              <w:ind w:firstLine="44"/>
              <w:jc w:val="center"/>
              <w:rPr>
                <w:rFonts w:ascii="Times New Roman" w:hAnsi="Times New Roman"/>
                <w:bCs/>
                <w:sz w:val="20"/>
                <w:szCs w:val="20"/>
                <w:lang w:val="en-GB"/>
              </w:rPr>
            </w:pPr>
            <w:r w:rsidRPr="00D816F4">
              <w:rPr>
                <w:rFonts w:ascii="Times New Roman" w:hAnsi="Times New Roman"/>
                <w:bCs/>
                <w:sz w:val="20"/>
                <w:szCs w:val="20"/>
                <w:lang w:val="en-GB"/>
              </w:rPr>
              <w:t>Limit value</w:t>
            </w:r>
          </w:p>
        </w:tc>
      </w:tr>
      <w:tr w:rsidR="00D816F4" w:rsidRPr="00D816F4" w14:paraId="554C389D" w14:textId="77777777" w:rsidTr="006B4AD5">
        <w:trPr>
          <w:jc w:val="center"/>
        </w:trPr>
        <w:tc>
          <w:tcPr>
            <w:tcW w:w="706" w:type="dxa"/>
            <w:vMerge/>
          </w:tcPr>
          <w:p w14:paraId="1FA604E0" w14:textId="77777777" w:rsidR="00D816F4" w:rsidRPr="00D816F4" w:rsidRDefault="00D816F4" w:rsidP="00E32453">
            <w:pPr>
              <w:adjustRightInd w:val="0"/>
              <w:snapToGrid w:val="0"/>
              <w:ind w:firstLine="709"/>
              <w:jc w:val="center"/>
              <w:rPr>
                <w:rFonts w:ascii="Times New Roman" w:hAnsi="Times New Roman"/>
                <w:bCs/>
                <w:sz w:val="20"/>
                <w:szCs w:val="20"/>
                <w:lang w:val="en-GB"/>
              </w:rPr>
            </w:pPr>
          </w:p>
        </w:tc>
        <w:tc>
          <w:tcPr>
            <w:tcW w:w="1047" w:type="dxa"/>
          </w:tcPr>
          <w:p w14:paraId="3F15C510" w14:textId="77777777" w:rsidR="00D816F4" w:rsidRPr="00D816F4" w:rsidRDefault="00D816F4" w:rsidP="00E32453">
            <w:pPr>
              <w:adjustRightInd w:val="0"/>
              <w:snapToGrid w:val="0"/>
              <w:ind w:firstLine="44"/>
              <w:jc w:val="center"/>
              <w:rPr>
                <w:rFonts w:ascii="Times New Roman" w:hAnsi="Times New Roman"/>
                <w:bCs/>
                <w:sz w:val="20"/>
                <w:szCs w:val="20"/>
                <w:lang w:val="en-GB"/>
              </w:rPr>
            </w:pPr>
            <w:r w:rsidRPr="00D816F4">
              <w:rPr>
                <w:rFonts w:ascii="Times New Roman" w:hAnsi="Times New Roman"/>
                <w:bCs/>
                <w:sz w:val="20"/>
                <w:szCs w:val="20"/>
                <w:lang w:val="en-GB"/>
              </w:rPr>
              <w:t>Upper</w:t>
            </w:r>
          </w:p>
          <w:p w14:paraId="4135DFCA" w14:textId="77777777" w:rsidR="00D816F4" w:rsidRPr="00D816F4" w:rsidRDefault="00D816F4" w:rsidP="00E32453">
            <w:pPr>
              <w:adjustRightInd w:val="0"/>
              <w:snapToGrid w:val="0"/>
              <w:ind w:firstLine="44"/>
              <w:jc w:val="center"/>
              <w:rPr>
                <w:rFonts w:ascii="Times New Roman" w:hAnsi="Times New Roman"/>
                <w:bCs/>
                <w:sz w:val="20"/>
                <w:szCs w:val="20"/>
                <w:lang w:val="en-GB"/>
              </w:rPr>
            </w:pPr>
            <w:r w:rsidRPr="00D816F4">
              <w:rPr>
                <w:rFonts w:ascii="Times New Roman" w:hAnsi="Times New Roman"/>
                <w:bCs/>
                <w:sz w:val="20"/>
                <w:szCs w:val="20"/>
                <w:lang w:val="en-GB"/>
              </w:rPr>
              <w:t>limit</w:t>
            </w:r>
          </w:p>
        </w:tc>
        <w:tc>
          <w:tcPr>
            <w:tcW w:w="1047" w:type="dxa"/>
          </w:tcPr>
          <w:p w14:paraId="4AD70E37" w14:textId="77777777" w:rsidR="00D816F4" w:rsidRPr="00D816F4" w:rsidRDefault="00D816F4" w:rsidP="00E32453">
            <w:pPr>
              <w:adjustRightInd w:val="0"/>
              <w:snapToGrid w:val="0"/>
              <w:ind w:firstLine="44"/>
              <w:jc w:val="center"/>
              <w:rPr>
                <w:rFonts w:ascii="Times New Roman" w:hAnsi="Times New Roman"/>
                <w:bCs/>
                <w:sz w:val="20"/>
                <w:szCs w:val="20"/>
                <w:lang w:val="en-GB"/>
              </w:rPr>
            </w:pPr>
            <w:r w:rsidRPr="00D816F4">
              <w:rPr>
                <w:rFonts w:ascii="Times New Roman" w:hAnsi="Times New Roman"/>
                <w:bCs/>
                <w:sz w:val="20"/>
                <w:szCs w:val="20"/>
                <w:lang w:val="en-GB"/>
              </w:rPr>
              <w:t>Lower</w:t>
            </w:r>
          </w:p>
          <w:p w14:paraId="374938E9" w14:textId="77777777" w:rsidR="00D816F4" w:rsidRPr="00D816F4" w:rsidRDefault="00D816F4" w:rsidP="00E32453">
            <w:pPr>
              <w:adjustRightInd w:val="0"/>
              <w:snapToGrid w:val="0"/>
              <w:ind w:firstLine="44"/>
              <w:jc w:val="center"/>
              <w:rPr>
                <w:rFonts w:ascii="Times New Roman" w:hAnsi="Times New Roman"/>
                <w:bCs/>
                <w:sz w:val="20"/>
                <w:szCs w:val="20"/>
                <w:lang w:val="en-GB"/>
              </w:rPr>
            </w:pPr>
            <w:r w:rsidRPr="00D816F4">
              <w:rPr>
                <w:rFonts w:ascii="Times New Roman" w:hAnsi="Times New Roman"/>
                <w:bCs/>
                <w:sz w:val="20"/>
                <w:szCs w:val="20"/>
                <w:lang w:val="en-GB"/>
              </w:rPr>
              <w:t>limit</w:t>
            </w:r>
          </w:p>
        </w:tc>
        <w:tc>
          <w:tcPr>
            <w:tcW w:w="1035" w:type="dxa"/>
          </w:tcPr>
          <w:p w14:paraId="0F190FD3" w14:textId="77777777" w:rsidR="00D816F4" w:rsidRPr="00D816F4" w:rsidRDefault="00D816F4" w:rsidP="00E32453">
            <w:pPr>
              <w:adjustRightInd w:val="0"/>
              <w:snapToGrid w:val="0"/>
              <w:ind w:firstLine="44"/>
              <w:jc w:val="center"/>
              <w:rPr>
                <w:rFonts w:ascii="Times New Roman" w:hAnsi="Times New Roman"/>
                <w:bCs/>
                <w:sz w:val="20"/>
                <w:szCs w:val="20"/>
                <w:lang w:val="en-GB"/>
              </w:rPr>
            </w:pPr>
            <w:r w:rsidRPr="00D816F4">
              <w:rPr>
                <w:rFonts w:ascii="Times New Roman" w:hAnsi="Times New Roman"/>
                <w:bCs/>
                <w:sz w:val="20"/>
                <w:szCs w:val="20"/>
                <w:lang w:val="en-GB"/>
              </w:rPr>
              <w:t>Upper</w:t>
            </w:r>
          </w:p>
          <w:p w14:paraId="4F80C893" w14:textId="77777777" w:rsidR="00D816F4" w:rsidRPr="00D816F4" w:rsidRDefault="00D816F4" w:rsidP="00E32453">
            <w:pPr>
              <w:adjustRightInd w:val="0"/>
              <w:snapToGrid w:val="0"/>
              <w:ind w:firstLine="44"/>
              <w:jc w:val="center"/>
              <w:rPr>
                <w:rFonts w:ascii="Times New Roman" w:hAnsi="Times New Roman"/>
                <w:bCs/>
                <w:sz w:val="20"/>
                <w:szCs w:val="20"/>
                <w:lang w:val="en-GB"/>
              </w:rPr>
            </w:pPr>
            <w:r w:rsidRPr="00D816F4">
              <w:rPr>
                <w:rFonts w:ascii="Times New Roman" w:hAnsi="Times New Roman"/>
                <w:bCs/>
                <w:sz w:val="20"/>
                <w:szCs w:val="20"/>
                <w:lang w:val="en-GB"/>
              </w:rPr>
              <w:t>limit</w:t>
            </w:r>
          </w:p>
        </w:tc>
        <w:tc>
          <w:tcPr>
            <w:tcW w:w="1041" w:type="dxa"/>
          </w:tcPr>
          <w:p w14:paraId="1A9B8EB7" w14:textId="77777777" w:rsidR="00D816F4" w:rsidRPr="00D816F4" w:rsidRDefault="00D816F4" w:rsidP="00E32453">
            <w:pPr>
              <w:adjustRightInd w:val="0"/>
              <w:snapToGrid w:val="0"/>
              <w:ind w:firstLine="44"/>
              <w:jc w:val="center"/>
              <w:rPr>
                <w:rFonts w:ascii="Times New Roman" w:hAnsi="Times New Roman"/>
                <w:bCs/>
                <w:sz w:val="20"/>
                <w:szCs w:val="20"/>
                <w:lang w:val="en-GB"/>
              </w:rPr>
            </w:pPr>
            <w:r w:rsidRPr="00D816F4">
              <w:rPr>
                <w:rFonts w:ascii="Times New Roman" w:hAnsi="Times New Roman"/>
                <w:bCs/>
                <w:sz w:val="20"/>
                <w:szCs w:val="20"/>
                <w:lang w:val="en-GB"/>
              </w:rPr>
              <w:t>Lower</w:t>
            </w:r>
          </w:p>
          <w:p w14:paraId="5CBEB7C1" w14:textId="77777777" w:rsidR="00D816F4" w:rsidRPr="00D816F4" w:rsidRDefault="00D816F4" w:rsidP="00E32453">
            <w:pPr>
              <w:adjustRightInd w:val="0"/>
              <w:snapToGrid w:val="0"/>
              <w:ind w:firstLine="44"/>
              <w:jc w:val="center"/>
              <w:rPr>
                <w:rFonts w:ascii="Times New Roman" w:hAnsi="Times New Roman"/>
                <w:bCs/>
                <w:sz w:val="20"/>
                <w:szCs w:val="20"/>
                <w:lang w:val="en-GB"/>
              </w:rPr>
            </w:pPr>
            <w:r w:rsidRPr="00D816F4">
              <w:rPr>
                <w:rFonts w:ascii="Times New Roman" w:hAnsi="Times New Roman"/>
                <w:bCs/>
                <w:sz w:val="20"/>
                <w:szCs w:val="20"/>
                <w:lang w:val="en-GB"/>
              </w:rPr>
              <w:t>limit</w:t>
            </w:r>
          </w:p>
        </w:tc>
        <w:tc>
          <w:tcPr>
            <w:tcW w:w="1267" w:type="dxa"/>
          </w:tcPr>
          <w:p w14:paraId="1B9C4693" w14:textId="77777777" w:rsidR="00D816F4" w:rsidRPr="00D816F4" w:rsidRDefault="00D816F4" w:rsidP="00E32453">
            <w:pPr>
              <w:adjustRightInd w:val="0"/>
              <w:snapToGrid w:val="0"/>
              <w:ind w:firstLine="44"/>
              <w:jc w:val="center"/>
              <w:rPr>
                <w:rFonts w:ascii="Times New Roman" w:hAnsi="Times New Roman"/>
                <w:bCs/>
                <w:sz w:val="20"/>
                <w:szCs w:val="20"/>
                <w:lang w:val="en-GB"/>
              </w:rPr>
            </w:pPr>
            <w:r w:rsidRPr="00D816F4">
              <w:rPr>
                <w:rFonts w:ascii="Times New Roman" w:hAnsi="Times New Roman"/>
                <w:bCs/>
                <w:sz w:val="20"/>
                <w:szCs w:val="20"/>
                <w:lang w:val="en-GB"/>
              </w:rPr>
              <w:t>Annual</w:t>
            </w:r>
          </w:p>
        </w:tc>
      </w:tr>
      <w:tr w:rsidR="00D816F4" w:rsidRPr="00D816F4" w14:paraId="54721A7A" w14:textId="77777777" w:rsidTr="006B4AD5">
        <w:trPr>
          <w:jc w:val="center"/>
        </w:trPr>
        <w:tc>
          <w:tcPr>
            <w:tcW w:w="706" w:type="dxa"/>
          </w:tcPr>
          <w:p w14:paraId="6824B640" w14:textId="77777777" w:rsidR="00D816F4" w:rsidRPr="00D816F4" w:rsidRDefault="00D816F4" w:rsidP="00E32453">
            <w:pPr>
              <w:adjustRightInd w:val="0"/>
              <w:snapToGrid w:val="0"/>
              <w:jc w:val="both"/>
              <w:rPr>
                <w:rFonts w:ascii="Times New Roman" w:hAnsi="Times New Roman"/>
                <w:bCs/>
                <w:sz w:val="20"/>
                <w:szCs w:val="20"/>
                <w:lang w:val="en-GB"/>
              </w:rPr>
            </w:pPr>
            <w:r w:rsidRPr="00D816F4">
              <w:rPr>
                <w:rFonts w:ascii="Times New Roman" w:hAnsi="Times New Roman"/>
                <w:bCs/>
                <w:sz w:val="20"/>
                <w:szCs w:val="20"/>
                <w:lang w:val="en-GB"/>
              </w:rPr>
              <w:t>PM</w:t>
            </w:r>
            <w:r w:rsidRPr="00D816F4">
              <w:rPr>
                <w:rFonts w:ascii="Times New Roman" w:hAnsi="Times New Roman"/>
                <w:bCs/>
                <w:sz w:val="20"/>
                <w:szCs w:val="20"/>
                <w:vertAlign w:val="subscript"/>
                <w:lang w:val="en-GB"/>
              </w:rPr>
              <w:t>10</w:t>
            </w:r>
          </w:p>
        </w:tc>
        <w:tc>
          <w:tcPr>
            <w:tcW w:w="1047" w:type="dxa"/>
          </w:tcPr>
          <w:p w14:paraId="63709F92" w14:textId="77777777" w:rsidR="00D816F4" w:rsidRPr="00D816F4" w:rsidRDefault="00D816F4" w:rsidP="00E32453">
            <w:pPr>
              <w:adjustRightInd w:val="0"/>
              <w:snapToGrid w:val="0"/>
              <w:jc w:val="both"/>
              <w:rPr>
                <w:rFonts w:ascii="Times New Roman" w:hAnsi="Times New Roman"/>
                <w:bCs/>
                <w:sz w:val="20"/>
                <w:szCs w:val="20"/>
                <w:lang w:val="en-GB"/>
              </w:rPr>
            </w:pPr>
            <w:r w:rsidRPr="00D816F4">
              <w:rPr>
                <w:rFonts w:ascii="Times New Roman" w:hAnsi="Times New Roman"/>
                <w:bCs/>
                <w:color w:val="000000"/>
                <w:sz w:val="20"/>
                <w:szCs w:val="20"/>
                <w:lang w:val="en-GB"/>
              </w:rPr>
              <w:t xml:space="preserve">35 </w:t>
            </w:r>
            <w:r w:rsidRPr="00D816F4">
              <w:rPr>
                <w:rFonts w:ascii="Times New Roman" w:hAnsi="Times New Roman"/>
                <w:bCs/>
                <w:sz w:val="20"/>
                <w:szCs w:val="20"/>
                <w:lang w:val="en-GB"/>
              </w:rPr>
              <w:t>µg/m³*</w:t>
            </w:r>
          </w:p>
        </w:tc>
        <w:tc>
          <w:tcPr>
            <w:tcW w:w="1047" w:type="dxa"/>
          </w:tcPr>
          <w:p w14:paraId="72A69A93" w14:textId="77777777" w:rsidR="00D816F4" w:rsidRPr="00D816F4" w:rsidRDefault="00D816F4" w:rsidP="00E32453">
            <w:pPr>
              <w:adjustRightInd w:val="0"/>
              <w:snapToGrid w:val="0"/>
              <w:jc w:val="both"/>
              <w:rPr>
                <w:rFonts w:ascii="Times New Roman" w:hAnsi="Times New Roman"/>
                <w:bCs/>
                <w:sz w:val="20"/>
                <w:szCs w:val="20"/>
                <w:lang w:val="en-GB"/>
              </w:rPr>
            </w:pPr>
            <w:r w:rsidRPr="00D816F4">
              <w:rPr>
                <w:rFonts w:ascii="Times New Roman" w:hAnsi="Times New Roman"/>
                <w:bCs/>
                <w:color w:val="000000"/>
                <w:sz w:val="20"/>
                <w:szCs w:val="20"/>
                <w:lang w:val="en-GB"/>
              </w:rPr>
              <w:t xml:space="preserve">25 </w:t>
            </w:r>
            <w:r w:rsidRPr="00D816F4">
              <w:rPr>
                <w:rFonts w:ascii="Times New Roman" w:hAnsi="Times New Roman"/>
                <w:bCs/>
                <w:sz w:val="20"/>
                <w:szCs w:val="20"/>
                <w:lang w:val="en-GB"/>
              </w:rPr>
              <w:t>µg/m³*</w:t>
            </w:r>
          </w:p>
        </w:tc>
        <w:tc>
          <w:tcPr>
            <w:tcW w:w="1035" w:type="dxa"/>
          </w:tcPr>
          <w:p w14:paraId="7C84E0E0" w14:textId="77777777" w:rsidR="00D816F4" w:rsidRPr="00D816F4" w:rsidRDefault="00D816F4" w:rsidP="00E32453">
            <w:pPr>
              <w:adjustRightInd w:val="0"/>
              <w:snapToGrid w:val="0"/>
              <w:jc w:val="both"/>
              <w:rPr>
                <w:rFonts w:ascii="Times New Roman" w:hAnsi="Times New Roman"/>
                <w:bCs/>
                <w:sz w:val="20"/>
                <w:szCs w:val="20"/>
                <w:lang w:val="en-GB"/>
              </w:rPr>
            </w:pPr>
            <w:r w:rsidRPr="00D816F4">
              <w:rPr>
                <w:rFonts w:ascii="Times New Roman" w:hAnsi="Times New Roman"/>
                <w:bCs/>
                <w:color w:val="000000"/>
                <w:sz w:val="20"/>
                <w:szCs w:val="20"/>
                <w:lang w:val="en-GB"/>
              </w:rPr>
              <w:t xml:space="preserve">28 </w:t>
            </w:r>
            <w:r w:rsidRPr="00D816F4">
              <w:rPr>
                <w:rFonts w:ascii="Times New Roman" w:hAnsi="Times New Roman"/>
                <w:bCs/>
                <w:sz w:val="20"/>
                <w:szCs w:val="20"/>
                <w:lang w:val="en-GB"/>
              </w:rPr>
              <w:t>µg/m³</w:t>
            </w:r>
          </w:p>
        </w:tc>
        <w:tc>
          <w:tcPr>
            <w:tcW w:w="1041" w:type="dxa"/>
          </w:tcPr>
          <w:p w14:paraId="10B3EBBC" w14:textId="77777777" w:rsidR="00D816F4" w:rsidRPr="00D816F4" w:rsidRDefault="00D816F4" w:rsidP="00E32453">
            <w:pPr>
              <w:adjustRightInd w:val="0"/>
              <w:snapToGrid w:val="0"/>
              <w:jc w:val="both"/>
              <w:rPr>
                <w:rFonts w:ascii="Times New Roman" w:hAnsi="Times New Roman"/>
                <w:bCs/>
                <w:sz w:val="20"/>
                <w:szCs w:val="20"/>
                <w:lang w:val="en-GB"/>
              </w:rPr>
            </w:pPr>
            <w:r w:rsidRPr="00D816F4">
              <w:rPr>
                <w:rFonts w:ascii="Times New Roman" w:hAnsi="Times New Roman"/>
                <w:bCs/>
                <w:color w:val="000000"/>
                <w:sz w:val="20"/>
                <w:szCs w:val="20"/>
                <w:lang w:val="en-GB"/>
              </w:rPr>
              <w:t xml:space="preserve">20 </w:t>
            </w:r>
            <w:r w:rsidRPr="00D816F4">
              <w:rPr>
                <w:rFonts w:ascii="Times New Roman" w:hAnsi="Times New Roman"/>
                <w:bCs/>
                <w:sz w:val="20"/>
                <w:szCs w:val="20"/>
                <w:lang w:val="en-GB"/>
              </w:rPr>
              <w:t>µg/m³</w:t>
            </w:r>
          </w:p>
        </w:tc>
        <w:tc>
          <w:tcPr>
            <w:tcW w:w="1267" w:type="dxa"/>
          </w:tcPr>
          <w:p w14:paraId="61675699" w14:textId="77777777" w:rsidR="00D816F4" w:rsidRPr="00D816F4" w:rsidRDefault="00D816F4" w:rsidP="00E32453">
            <w:pPr>
              <w:adjustRightInd w:val="0"/>
              <w:snapToGrid w:val="0"/>
              <w:jc w:val="both"/>
              <w:rPr>
                <w:rFonts w:ascii="Times New Roman" w:hAnsi="Times New Roman"/>
                <w:bCs/>
                <w:sz w:val="20"/>
                <w:szCs w:val="20"/>
                <w:lang w:val="en-GB"/>
              </w:rPr>
            </w:pPr>
            <w:r w:rsidRPr="00D816F4">
              <w:rPr>
                <w:rFonts w:ascii="Times New Roman" w:hAnsi="Times New Roman"/>
                <w:bCs/>
                <w:sz w:val="20"/>
                <w:szCs w:val="20"/>
                <w:lang w:val="en-GB"/>
              </w:rPr>
              <w:t>40 µg/m³</w:t>
            </w:r>
          </w:p>
        </w:tc>
      </w:tr>
    </w:tbl>
    <w:p w14:paraId="386E8D91" w14:textId="77777777" w:rsidR="00D816F4" w:rsidRPr="00D816F4" w:rsidRDefault="00D816F4" w:rsidP="00E32453">
      <w:pPr>
        <w:adjustRightInd w:val="0"/>
        <w:snapToGrid w:val="0"/>
        <w:ind w:firstLine="851"/>
        <w:jc w:val="both"/>
        <w:rPr>
          <w:bCs/>
          <w:i/>
          <w:iCs/>
          <w:lang w:val="en-GB"/>
        </w:rPr>
      </w:pPr>
      <w:r w:rsidRPr="00D816F4">
        <w:rPr>
          <w:bCs/>
          <w:lang w:val="en-GB"/>
        </w:rPr>
        <w:t>*Daily average</w:t>
      </w:r>
      <w:r w:rsidRPr="00D816F4">
        <w:rPr>
          <w:bCs/>
          <w:i/>
          <w:iCs/>
          <w:lang w:val="en-GB"/>
        </w:rPr>
        <w:t xml:space="preserve"> not to be exceeded more than 35 times in a calendar year</w:t>
      </w:r>
    </w:p>
    <w:p w14:paraId="06C9A1E9" w14:textId="77777777" w:rsidR="00E32453" w:rsidRDefault="00E32453" w:rsidP="00B37AE3">
      <w:pPr>
        <w:adjustRightInd w:val="0"/>
        <w:snapToGrid w:val="0"/>
        <w:ind w:firstLine="709"/>
        <w:jc w:val="both"/>
        <w:rPr>
          <w:bCs/>
          <w:sz w:val="24"/>
          <w:szCs w:val="24"/>
          <w:lang w:val="en-GB"/>
        </w:rPr>
      </w:pPr>
    </w:p>
    <w:p w14:paraId="0439C5F3" w14:textId="31C251D2" w:rsidR="00D816F4" w:rsidRPr="00D816F4" w:rsidRDefault="00D816F4" w:rsidP="00B37AE3">
      <w:pPr>
        <w:adjustRightInd w:val="0"/>
        <w:snapToGrid w:val="0"/>
        <w:ind w:firstLine="709"/>
        <w:jc w:val="both"/>
        <w:rPr>
          <w:bCs/>
          <w:sz w:val="24"/>
          <w:szCs w:val="24"/>
          <w:lang w:val="en-GB"/>
        </w:rPr>
      </w:pPr>
      <w:r w:rsidRPr="00D816F4">
        <w:rPr>
          <w:bCs/>
          <w:sz w:val="24"/>
          <w:szCs w:val="24"/>
          <w:lang w:val="en-GB"/>
        </w:rPr>
        <w:t>The data collected by the air quality monitoring stations were downloaded from the government-owned and managed website to facilitate public accessibility to this information.</w:t>
      </w:r>
    </w:p>
    <w:p w14:paraId="376BBFB0" w14:textId="77777777" w:rsidR="00D816F4" w:rsidRPr="00D816F4" w:rsidRDefault="00D816F4" w:rsidP="00B37AE3">
      <w:pPr>
        <w:adjustRightInd w:val="0"/>
        <w:snapToGrid w:val="0"/>
        <w:ind w:firstLine="709"/>
        <w:jc w:val="both"/>
        <w:rPr>
          <w:bCs/>
          <w:sz w:val="24"/>
          <w:szCs w:val="24"/>
          <w:lang w:val="en-GB"/>
        </w:rPr>
      </w:pPr>
      <w:r w:rsidRPr="00D816F4">
        <w:rPr>
          <w:bCs/>
          <w:sz w:val="24"/>
          <w:szCs w:val="24"/>
          <w:lang w:val="en-GB"/>
        </w:rPr>
        <w:t>The collected data from the previously mentioned monitoring stations was performed for the interval January 1, 2019, 00:00 - January 1, 2024, 00:00, from a total of 8 stations, located in the Bucharest - Ilfov area. The location of the 8 stations is presented in Fig. 1.</w:t>
      </w:r>
    </w:p>
    <w:p w14:paraId="3BA5968F" w14:textId="77777777" w:rsidR="00D816F4" w:rsidRPr="00D816F4" w:rsidRDefault="00D816F4" w:rsidP="00310D27">
      <w:pPr>
        <w:adjustRightInd w:val="0"/>
        <w:snapToGrid w:val="0"/>
        <w:spacing w:line="360" w:lineRule="auto"/>
        <w:jc w:val="center"/>
        <w:rPr>
          <w:bCs/>
          <w:sz w:val="24"/>
          <w:szCs w:val="24"/>
          <w:lang w:val="en-GB"/>
        </w:rPr>
      </w:pPr>
      <w:r w:rsidRPr="00D816F4">
        <w:rPr>
          <w:bCs/>
          <w:noProof/>
          <w:sz w:val="24"/>
          <w:szCs w:val="24"/>
          <w:lang w:val="en-GB"/>
        </w:rPr>
        <w:lastRenderedPageBreak/>
        <w:drawing>
          <wp:inline distT="0" distB="0" distL="0" distR="0" wp14:anchorId="5215532E" wp14:editId="2A6EDD75">
            <wp:extent cx="2398474" cy="2443480"/>
            <wp:effectExtent l="0" t="0" r="1905" b="0"/>
            <wp:docPr id="55631883" name="Picture 7" descr="A map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31883" name="Picture 7" descr="A map of a city&#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48887" cy="2494839"/>
                    </a:xfrm>
                    <a:prstGeom prst="rect">
                      <a:avLst/>
                    </a:prstGeom>
                    <a:noFill/>
                    <a:ln>
                      <a:noFill/>
                    </a:ln>
                  </pic:spPr>
                </pic:pic>
              </a:graphicData>
            </a:graphic>
          </wp:inline>
        </w:drawing>
      </w:r>
    </w:p>
    <w:p w14:paraId="5A8DBAB3" w14:textId="77777777" w:rsidR="00D816F4" w:rsidRPr="00D816F4" w:rsidRDefault="00D816F4" w:rsidP="00310D27">
      <w:pPr>
        <w:adjustRightInd w:val="0"/>
        <w:snapToGrid w:val="0"/>
        <w:spacing w:line="360" w:lineRule="auto"/>
        <w:jc w:val="center"/>
        <w:rPr>
          <w:bCs/>
          <w:lang w:val="en-GB"/>
        </w:rPr>
      </w:pPr>
      <w:r w:rsidRPr="00D816F4">
        <w:rPr>
          <w:bCs/>
          <w:lang w:val="en-GB"/>
        </w:rPr>
        <w:t>Fig.1. The map location of PM</w:t>
      </w:r>
      <w:r w:rsidRPr="00D816F4">
        <w:rPr>
          <w:bCs/>
          <w:vertAlign w:val="subscript"/>
          <w:lang w:val="en-GB"/>
        </w:rPr>
        <w:t>10</w:t>
      </w:r>
      <w:r w:rsidRPr="00D816F4">
        <w:rPr>
          <w:bCs/>
          <w:lang w:val="en-GB"/>
        </w:rPr>
        <w:t xml:space="preserve"> measurement stations in the Bucharest-Ilfov area</w:t>
      </w:r>
    </w:p>
    <w:p w14:paraId="0A403B33" w14:textId="77777777" w:rsidR="00D816F4" w:rsidRPr="00D816F4" w:rsidRDefault="00D816F4" w:rsidP="00B37AE3">
      <w:pPr>
        <w:adjustRightInd w:val="0"/>
        <w:snapToGrid w:val="0"/>
        <w:ind w:firstLine="709"/>
        <w:jc w:val="both"/>
        <w:rPr>
          <w:bCs/>
          <w:sz w:val="24"/>
          <w:szCs w:val="24"/>
          <w:lang w:val="en-GB"/>
        </w:rPr>
      </w:pPr>
      <w:r w:rsidRPr="00D816F4">
        <w:rPr>
          <w:bCs/>
          <w:sz w:val="24"/>
          <w:szCs w:val="24"/>
          <w:lang w:val="en-GB"/>
        </w:rPr>
        <w:t>The hourly results were analyzed for data processing. With these calculated values, daily values, annual values, hourly running averages, daily averages or annual averages were calculated in accordance with Ambient Air Quality</w:t>
      </w:r>
      <w:r w:rsidRPr="00D816F4">
        <w:rPr>
          <w:b/>
          <w:bCs/>
          <w:sz w:val="24"/>
          <w:szCs w:val="24"/>
          <w:lang w:val="en-GB"/>
        </w:rPr>
        <w:t xml:space="preserve"> </w:t>
      </w:r>
      <w:r w:rsidRPr="00D816F4">
        <w:rPr>
          <w:bCs/>
          <w:sz w:val="24"/>
          <w:szCs w:val="24"/>
          <w:lang w:val="en-GB"/>
        </w:rPr>
        <w:t xml:space="preserve">Law. </w:t>
      </w:r>
    </w:p>
    <w:p w14:paraId="5D2BC2A8" w14:textId="77777777" w:rsidR="00D816F4" w:rsidRPr="00D816F4" w:rsidRDefault="00D816F4" w:rsidP="00B37AE3">
      <w:pPr>
        <w:adjustRightInd w:val="0"/>
        <w:snapToGrid w:val="0"/>
        <w:ind w:firstLine="709"/>
        <w:jc w:val="both"/>
        <w:rPr>
          <w:b/>
          <w:bCs/>
          <w:sz w:val="24"/>
          <w:szCs w:val="24"/>
          <w:lang w:val="en-GB"/>
        </w:rPr>
      </w:pPr>
    </w:p>
    <w:p w14:paraId="72D78A89" w14:textId="77777777" w:rsidR="00D816F4" w:rsidRPr="00D816F4" w:rsidRDefault="00D816F4">
      <w:pPr>
        <w:numPr>
          <w:ilvl w:val="0"/>
          <w:numId w:val="2"/>
        </w:numPr>
        <w:adjustRightInd w:val="0"/>
        <w:snapToGrid w:val="0"/>
        <w:spacing w:line="360" w:lineRule="auto"/>
        <w:rPr>
          <w:b/>
          <w:snapToGrid w:val="0"/>
          <w:color w:val="000000"/>
          <w:sz w:val="24"/>
          <w:szCs w:val="24"/>
          <w:lang w:eastAsia="de-DE" w:bidi="en-US"/>
        </w:rPr>
      </w:pPr>
      <w:r w:rsidRPr="00D816F4">
        <w:rPr>
          <w:b/>
          <w:snapToGrid w:val="0"/>
          <w:color w:val="000000"/>
          <w:sz w:val="24"/>
          <w:szCs w:val="24"/>
          <w:lang w:eastAsia="de-DE" w:bidi="en-US"/>
        </w:rPr>
        <w:t>Results and discussions</w:t>
      </w:r>
    </w:p>
    <w:p w14:paraId="51EA8C00" w14:textId="77777777" w:rsidR="00D816F4" w:rsidRDefault="00D816F4" w:rsidP="00B37AE3">
      <w:pPr>
        <w:adjustRightInd w:val="0"/>
        <w:snapToGrid w:val="0"/>
        <w:ind w:firstLine="709"/>
        <w:jc w:val="both"/>
        <w:rPr>
          <w:iCs/>
          <w:noProof/>
          <w:snapToGrid w:val="0"/>
          <w:color w:val="000000"/>
          <w:sz w:val="24"/>
          <w:szCs w:val="24"/>
          <w:lang w:eastAsia="de-DE" w:bidi="en-US"/>
        </w:rPr>
      </w:pPr>
      <w:r w:rsidRPr="00D816F4">
        <w:rPr>
          <w:iCs/>
          <w:noProof/>
          <w:snapToGrid w:val="0"/>
          <w:color w:val="000000"/>
          <w:sz w:val="24"/>
          <w:szCs w:val="24"/>
          <w:lang w:eastAsia="de-DE" w:bidi="en-US"/>
        </w:rPr>
        <w:t>The daily average value for the lower threshold value for PM</w:t>
      </w:r>
      <w:r w:rsidRPr="00D816F4">
        <w:rPr>
          <w:iCs/>
          <w:noProof/>
          <w:snapToGrid w:val="0"/>
          <w:color w:val="000000"/>
          <w:sz w:val="24"/>
          <w:szCs w:val="24"/>
          <w:vertAlign w:val="subscript"/>
          <w:lang w:eastAsia="de-DE" w:bidi="en-US"/>
        </w:rPr>
        <w:t>10</w:t>
      </w:r>
      <w:r w:rsidRPr="00D816F4">
        <w:rPr>
          <w:iCs/>
          <w:noProof/>
          <w:snapToGrid w:val="0"/>
          <w:color w:val="000000"/>
          <w:sz w:val="24"/>
          <w:szCs w:val="24"/>
          <w:lang w:eastAsia="de-DE" w:bidi="en-US"/>
        </w:rPr>
        <w:t xml:space="preserve"> concentration assessment is 25 µg/m³ - level not to be exceeded more than 35 times in a calendar year. Fig. 2 illustrates the graph with the number of exceedances of the lower assessment threshold of the daily average at the 8 monitoring stations for the 2019-2023 interval. By analyzing this graph, it can be noticed that not only that the value of 25 µg/m³ was annually exceeded at all the monitoring stations, but this value was also exceeded more than 35 times in a single calendar year, during the 5 years of monitoring.</w:t>
      </w:r>
    </w:p>
    <w:p w14:paraId="49E40E99" w14:textId="77777777" w:rsidR="00310D27" w:rsidRPr="00D816F4" w:rsidRDefault="00310D27" w:rsidP="00B37AE3">
      <w:pPr>
        <w:adjustRightInd w:val="0"/>
        <w:snapToGrid w:val="0"/>
        <w:ind w:firstLine="709"/>
        <w:jc w:val="both"/>
        <w:rPr>
          <w:iCs/>
          <w:noProof/>
          <w:snapToGrid w:val="0"/>
          <w:color w:val="000000"/>
          <w:sz w:val="12"/>
          <w:szCs w:val="12"/>
          <w:lang w:eastAsia="de-DE" w:bidi="en-US"/>
        </w:rPr>
      </w:pPr>
    </w:p>
    <w:p w14:paraId="2E09BAF0" w14:textId="77777777" w:rsidR="00D816F4" w:rsidRPr="00D816F4" w:rsidRDefault="00D816F4" w:rsidP="00310D27">
      <w:pPr>
        <w:adjustRightInd w:val="0"/>
        <w:snapToGrid w:val="0"/>
        <w:spacing w:line="360" w:lineRule="auto"/>
        <w:jc w:val="center"/>
        <w:rPr>
          <w:iCs/>
          <w:noProof/>
          <w:snapToGrid w:val="0"/>
          <w:color w:val="000000"/>
          <w:sz w:val="24"/>
          <w:szCs w:val="24"/>
          <w:lang w:eastAsia="de-DE" w:bidi="en-US"/>
        </w:rPr>
      </w:pPr>
      <w:r w:rsidRPr="00D816F4">
        <w:rPr>
          <w:i/>
          <w:noProof/>
          <w:snapToGrid w:val="0"/>
          <w:color w:val="000000"/>
          <w:sz w:val="24"/>
          <w:szCs w:val="24"/>
          <w:lang w:eastAsia="de-DE" w:bidi="en-US"/>
        </w:rPr>
        <w:drawing>
          <wp:inline distT="0" distB="0" distL="0" distR="0" wp14:anchorId="00196648" wp14:editId="69759A8A">
            <wp:extent cx="5005070" cy="1584960"/>
            <wp:effectExtent l="0" t="0" r="5080" b="15240"/>
            <wp:docPr id="717550441" name="Chart 1">
              <a:extLst xmlns:a="http://schemas.openxmlformats.org/drawingml/2006/main">
                <a:ext uri="{FF2B5EF4-FFF2-40B4-BE49-F238E27FC236}">
                  <a16:creationId xmlns:a16="http://schemas.microsoft.com/office/drawing/2014/main" id="{58D43A94-30BB-A563-BBE4-DB1D4FBBCF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65541FC" w14:textId="77777777" w:rsidR="00D816F4" w:rsidRPr="00D816F4" w:rsidRDefault="00D816F4" w:rsidP="00E32453">
      <w:pPr>
        <w:adjustRightInd w:val="0"/>
        <w:snapToGrid w:val="0"/>
        <w:jc w:val="center"/>
        <w:rPr>
          <w:iCs/>
          <w:noProof/>
          <w:snapToGrid w:val="0"/>
          <w:color w:val="000000"/>
          <w:lang w:eastAsia="de-DE" w:bidi="en-US"/>
        </w:rPr>
      </w:pPr>
      <w:r w:rsidRPr="00D816F4">
        <w:rPr>
          <w:iCs/>
          <w:noProof/>
          <w:snapToGrid w:val="0"/>
          <w:color w:val="000000"/>
          <w:lang w:eastAsia="de-DE" w:bidi="en-US"/>
        </w:rPr>
        <w:t>Fig. 2. PM</w:t>
      </w:r>
      <w:r w:rsidRPr="00D816F4">
        <w:rPr>
          <w:iCs/>
          <w:noProof/>
          <w:snapToGrid w:val="0"/>
          <w:color w:val="000000"/>
          <w:vertAlign w:val="subscript"/>
          <w:lang w:eastAsia="de-DE" w:bidi="en-US"/>
        </w:rPr>
        <w:t>10</w:t>
      </w:r>
      <w:r w:rsidRPr="00D816F4">
        <w:rPr>
          <w:iCs/>
          <w:noProof/>
          <w:snapToGrid w:val="0"/>
          <w:color w:val="000000"/>
          <w:lang w:eastAsia="de-DE" w:bidi="en-US"/>
        </w:rPr>
        <w:t xml:space="preserve"> - Exceedances of the lower assessment limit of the daily average in the Bucharest-Ilfov area, in the period 2019-2023</w:t>
      </w:r>
    </w:p>
    <w:p w14:paraId="4FD12E3F" w14:textId="77777777" w:rsidR="00D816F4" w:rsidRPr="00D816F4" w:rsidRDefault="00D816F4" w:rsidP="00B37AE3">
      <w:pPr>
        <w:adjustRightInd w:val="0"/>
        <w:snapToGrid w:val="0"/>
        <w:ind w:firstLine="709"/>
        <w:jc w:val="both"/>
        <w:rPr>
          <w:iCs/>
          <w:noProof/>
          <w:snapToGrid w:val="0"/>
          <w:color w:val="000000"/>
          <w:sz w:val="24"/>
          <w:szCs w:val="24"/>
          <w:lang w:eastAsia="de-DE" w:bidi="en-US"/>
        </w:rPr>
      </w:pPr>
      <w:r w:rsidRPr="00D816F4">
        <w:rPr>
          <w:iCs/>
          <w:noProof/>
          <w:snapToGrid w:val="0"/>
          <w:color w:val="000000"/>
          <w:sz w:val="24"/>
          <w:szCs w:val="24"/>
          <w:lang w:eastAsia="de-DE" w:bidi="en-US"/>
        </w:rPr>
        <w:lastRenderedPageBreak/>
        <w:t xml:space="preserve">The maximum number of captured exceedances was at the B3 monitoring station in 2019, with a value of 241, which is 206 times above the threshold limit of 35 exceedances. This represents a 589% exceedance of the lower assessment limit for the daily average by 589% of the maximum number of exceedances. </w:t>
      </w:r>
    </w:p>
    <w:p w14:paraId="26E80E97" w14:textId="77777777" w:rsidR="00D816F4" w:rsidRPr="00D816F4" w:rsidRDefault="00D816F4" w:rsidP="00B37AE3">
      <w:pPr>
        <w:adjustRightInd w:val="0"/>
        <w:snapToGrid w:val="0"/>
        <w:ind w:firstLine="709"/>
        <w:jc w:val="both"/>
        <w:rPr>
          <w:iCs/>
          <w:noProof/>
          <w:snapToGrid w:val="0"/>
          <w:color w:val="000000"/>
          <w:sz w:val="24"/>
          <w:szCs w:val="24"/>
          <w:lang w:eastAsia="de-DE" w:bidi="en-US"/>
        </w:rPr>
      </w:pPr>
      <w:r w:rsidRPr="00D816F4">
        <w:rPr>
          <w:iCs/>
          <w:noProof/>
          <w:snapToGrid w:val="0"/>
          <w:color w:val="000000"/>
          <w:sz w:val="24"/>
          <w:szCs w:val="24"/>
          <w:lang w:eastAsia="de-DE" w:bidi="en-US"/>
        </w:rPr>
        <w:t xml:space="preserve">B8 monitoring station, which is located in a rural area close to the Snagov forest, has the lowest monitoring results. The minimum recorded value is 49 </w:t>
      </w:r>
      <w:r w:rsidRPr="00D816F4">
        <w:rPr>
          <w:iCs/>
          <w:noProof/>
          <w:snapToGrid w:val="0"/>
          <w:sz w:val="24"/>
          <w:szCs w:val="24"/>
          <w:lang w:eastAsia="de-DE" w:bidi="en-US"/>
        </w:rPr>
        <w:t>µg/m³</w:t>
      </w:r>
      <w:r w:rsidRPr="00D816F4">
        <w:rPr>
          <w:iCs/>
          <w:noProof/>
          <w:snapToGrid w:val="0"/>
          <w:color w:val="000000"/>
          <w:sz w:val="24"/>
          <w:szCs w:val="24"/>
          <w:lang w:eastAsia="de-DE" w:bidi="en-US"/>
        </w:rPr>
        <w:t xml:space="preserve">, which corresponds to a 40% exceedance of the daily average, compared with the maximum number of exceedances allowed. The proximity to a natural habitat such as the Snagov Forest can reduce pollution emissions. The lush vegetation in the forest is essential for purifying the air, as it can absorb specific pollutants and reduce their concentration in the atmosphere. Furthermore, rural areas are generally also less exposed to heavy sources of pollution, such as motorized traffic or industrial activities, which are typical for urban regions. Moreover, in the specific conditions of rural areas, air circulation is often more favorable, allowing the dispersion of pollutants and thus contributing to maintaining a improved air quality. </w:t>
      </w:r>
    </w:p>
    <w:p w14:paraId="2F847951" w14:textId="77777777" w:rsidR="00D816F4" w:rsidRDefault="00D816F4" w:rsidP="00B37AE3">
      <w:pPr>
        <w:adjustRightInd w:val="0"/>
        <w:snapToGrid w:val="0"/>
        <w:ind w:firstLine="709"/>
        <w:jc w:val="both"/>
        <w:rPr>
          <w:iCs/>
          <w:noProof/>
          <w:snapToGrid w:val="0"/>
          <w:sz w:val="24"/>
          <w:szCs w:val="24"/>
          <w:lang w:eastAsia="de-DE" w:bidi="en-US"/>
        </w:rPr>
      </w:pPr>
      <w:r w:rsidRPr="00D816F4">
        <w:rPr>
          <w:iCs/>
          <w:noProof/>
          <w:snapToGrid w:val="0"/>
          <w:color w:val="000000"/>
          <w:sz w:val="24"/>
          <w:szCs w:val="24"/>
          <w:lang w:eastAsia="de-DE" w:bidi="en-US"/>
        </w:rPr>
        <w:t>Fig. 3 presents the graph of the annual average concentration of PM</w:t>
      </w:r>
      <w:r w:rsidRPr="00D816F4">
        <w:rPr>
          <w:iCs/>
          <w:noProof/>
          <w:snapToGrid w:val="0"/>
          <w:color w:val="000000"/>
          <w:sz w:val="24"/>
          <w:szCs w:val="24"/>
          <w:vertAlign w:val="subscript"/>
          <w:lang w:eastAsia="de-DE" w:bidi="en-US"/>
        </w:rPr>
        <w:t>10</w:t>
      </w:r>
      <w:r w:rsidRPr="00D816F4">
        <w:rPr>
          <w:iCs/>
          <w:noProof/>
          <w:snapToGrid w:val="0"/>
          <w:color w:val="000000"/>
          <w:sz w:val="24"/>
          <w:szCs w:val="24"/>
          <w:lang w:eastAsia="de-DE" w:bidi="en-US"/>
        </w:rPr>
        <w:t xml:space="preserve"> with the lower assessment limit of 20 µg/m³, as reference. By analyzing the data from 2019-2023, it can be concluded that this limit value was exceeded at monitoring stations B1 - B7. The maximum concentration was registered in 2019 at monitoring station B3, with a value of 35.69 µg/m³, which represents a 78% exceedance of the annual lower assessment threshold limit. </w:t>
      </w:r>
      <w:r w:rsidRPr="00D816F4">
        <w:rPr>
          <w:iCs/>
          <w:noProof/>
          <w:snapToGrid w:val="0"/>
          <w:sz w:val="24"/>
          <w:szCs w:val="24"/>
          <w:lang w:eastAsia="de-DE" w:bidi="en-US"/>
        </w:rPr>
        <w:t>Furthermore, the reported values at station B8, which is located in a rural area, are substantially below. This station exceeded the lower assessment limit only in 2019, with a value of 21.33 µg/m³, which is 7% above the lower assessment limit. Between 2020-2023, the lower assessment limit for the annual average concentration was not exceeded and the lowest value registered was 17.89 µg/m³, in 2022.</w:t>
      </w:r>
    </w:p>
    <w:p w14:paraId="5A201BED" w14:textId="77777777" w:rsidR="00310D27" w:rsidRPr="00D816F4" w:rsidRDefault="00310D27" w:rsidP="00B37AE3">
      <w:pPr>
        <w:adjustRightInd w:val="0"/>
        <w:snapToGrid w:val="0"/>
        <w:ind w:firstLine="709"/>
        <w:jc w:val="both"/>
        <w:rPr>
          <w:iCs/>
          <w:noProof/>
          <w:snapToGrid w:val="0"/>
          <w:sz w:val="12"/>
          <w:szCs w:val="12"/>
          <w:lang w:eastAsia="de-DE" w:bidi="en-US"/>
        </w:rPr>
      </w:pPr>
    </w:p>
    <w:p w14:paraId="082EF6B0" w14:textId="77777777" w:rsidR="00D816F4" w:rsidRPr="00D816F4" w:rsidRDefault="00D816F4" w:rsidP="00310D27">
      <w:pPr>
        <w:adjustRightInd w:val="0"/>
        <w:snapToGrid w:val="0"/>
        <w:jc w:val="center"/>
        <w:rPr>
          <w:iCs/>
          <w:noProof/>
          <w:snapToGrid w:val="0"/>
          <w:sz w:val="24"/>
          <w:szCs w:val="24"/>
          <w:lang w:eastAsia="de-DE" w:bidi="en-US"/>
        </w:rPr>
      </w:pPr>
      <w:r w:rsidRPr="00D816F4">
        <w:rPr>
          <w:i/>
          <w:noProof/>
          <w:snapToGrid w:val="0"/>
          <w:color w:val="000000"/>
          <w:sz w:val="24"/>
          <w:szCs w:val="24"/>
          <w:lang w:eastAsia="de-DE" w:bidi="en-US"/>
        </w:rPr>
        <w:drawing>
          <wp:inline distT="0" distB="0" distL="0" distR="0" wp14:anchorId="5FB69DCA" wp14:editId="7BD026F2">
            <wp:extent cx="4862830" cy="1767840"/>
            <wp:effectExtent l="0" t="0" r="13970" b="3810"/>
            <wp:docPr id="1415600941" name="Chart 1">
              <a:extLst xmlns:a="http://schemas.openxmlformats.org/drawingml/2006/main">
                <a:ext uri="{FF2B5EF4-FFF2-40B4-BE49-F238E27FC236}">
                  <a16:creationId xmlns:a16="http://schemas.microsoft.com/office/drawing/2014/main" id="{34CB996E-8F0D-DD53-93B2-880C66743A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CBA84C0" w14:textId="77777777" w:rsidR="00D816F4" w:rsidRPr="00D816F4" w:rsidRDefault="00D816F4" w:rsidP="00E32453">
      <w:pPr>
        <w:adjustRightInd w:val="0"/>
        <w:snapToGrid w:val="0"/>
        <w:spacing w:before="120"/>
        <w:jc w:val="center"/>
        <w:rPr>
          <w:iCs/>
          <w:noProof/>
          <w:snapToGrid w:val="0"/>
          <w:color w:val="000000"/>
          <w:lang w:eastAsia="de-DE" w:bidi="en-US"/>
        </w:rPr>
      </w:pPr>
      <w:r w:rsidRPr="00D816F4">
        <w:rPr>
          <w:iCs/>
          <w:noProof/>
          <w:snapToGrid w:val="0"/>
          <w:color w:val="000000"/>
          <w:lang w:eastAsia="de-DE" w:bidi="en-US"/>
        </w:rPr>
        <w:t>Fig. 3. PM</w:t>
      </w:r>
      <w:r w:rsidRPr="00D816F4">
        <w:rPr>
          <w:iCs/>
          <w:noProof/>
          <w:snapToGrid w:val="0"/>
          <w:color w:val="000000"/>
          <w:vertAlign w:val="subscript"/>
          <w:lang w:eastAsia="de-DE" w:bidi="en-US"/>
        </w:rPr>
        <w:t xml:space="preserve">10 </w:t>
      </w:r>
      <w:r w:rsidRPr="00D816F4">
        <w:rPr>
          <w:iCs/>
          <w:noProof/>
          <w:snapToGrid w:val="0"/>
          <w:color w:val="000000"/>
          <w:lang w:eastAsia="de-DE" w:bidi="en-US"/>
        </w:rPr>
        <w:t>- Exceedances of the annual average lower assessment threshold in the Bucharest-Ilfov area, between 2019 and 2023</w:t>
      </w:r>
    </w:p>
    <w:p w14:paraId="6A835FD0" w14:textId="77777777" w:rsidR="00D816F4" w:rsidRPr="00D816F4" w:rsidRDefault="00D816F4" w:rsidP="00553917">
      <w:pPr>
        <w:adjustRightInd w:val="0"/>
        <w:snapToGrid w:val="0"/>
        <w:spacing w:before="120"/>
        <w:ind w:firstLine="709"/>
        <w:jc w:val="both"/>
        <w:rPr>
          <w:iCs/>
          <w:noProof/>
          <w:snapToGrid w:val="0"/>
          <w:sz w:val="24"/>
          <w:szCs w:val="24"/>
          <w:lang w:eastAsia="de-DE" w:bidi="en-US"/>
        </w:rPr>
      </w:pPr>
      <w:r w:rsidRPr="00D816F4">
        <w:rPr>
          <w:iCs/>
          <w:noProof/>
          <w:snapToGrid w:val="0"/>
          <w:sz w:val="24"/>
          <w:szCs w:val="24"/>
          <w:lang w:eastAsia="de-DE" w:bidi="en-US"/>
        </w:rPr>
        <w:t>For the upper assessment limit we have a limit of 35 µg/m³ for the daily average which should not be exceeded more than 35 times in a calendar year.</w:t>
      </w:r>
    </w:p>
    <w:p w14:paraId="4CFF92E4" w14:textId="77777777" w:rsidR="00D816F4" w:rsidRPr="00D816F4" w:rsidRDefault="00D816F4" w:rsidP="00310D27">
      <w:pPr>
        <w:adjustRightInd w:val="0"/>
        <w:snapToGrid w:val="0"/>
        <w:jc w:val="center"/>
        <w:rPr>
          <w:iCs/>
          <w:noProof/>
          <w:snapToGrid w:val="0"/>
          <w:color w:val="000000"/>
          <w:sz w:val="24"/>
          <w:szCs w:val="24"/>
          <w:lang w:eastAsia="de-DE" w:bidi="en-US"/>
        </w:rPr>
      </w:pPr>
      <w:r w:rsidRPr="00D816F4">
        <w:rPr>
          <w:i/>
          <w:noProof/>
          <w:snapToGrid w:val="0"/>
          <w:color w:val="000000"/>
          <w:sz w:val="24"/>
          <w:szCs w:val="24"/>
          <w:lang w:eastAsia="de-DE" w:bidi="en-US"/>
        </w:rPr>
        <w:lastRenderedPageBreak/>
        <w:drawing>
          <wp:inline distT="0" distB="0" distL="0" distR="0" wp14:anchorId="7B730693" wp14:editId="06D02E91">
            <wp:extent cx="5005070" cy="1661160"/>
            <wp:effectExtent l="0" t="0" r="5080" b="15240"/>
            <wp:docPr id="610684514" name="Chart 1">
              <a:extLst xmlns:a="http://schemas.openxmlformats.org/drawingml/2006/main">
                <a:ext uri="{FF2B5EF4-FFF2-40B4-BE49-F238E27FC236}">
                  <a16:creationId xmlns:a16="http://schemas.microsoft.com/office/drawing/2014/main" id="{8C06DA59-5BAF-D0F5-4134-2EC442D408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3B316FD" w14:textId="77777777" w:rsidR="00D816F4" w:rsidRPr="00D816F4" w:rsidRDefault="00D816F4" w:rsidP="00E32453">
      <w:pPr>
        <w:adjustRightInd w:val="0"/>
        <w:snapToGrid w:val="0"/>
        <w:spacing w:before="120"/>
        <w:jc w:val="center"/>
        <w:rPr>
          <w:iCs/>
          <w:noProof/>
          <w:snapToGrid w:val="0"/>
          <w:color w:val="000000"/>
          <w:lang w:eastAsia="de-DE" w:bidi="en-US"/>
        </w:rPr>
      </w:pPr>
      <w:r w:rsidRPr="00D816F4">
        <w:rPr>
          <w:iCs/>
          <w:noProof/>
          <w:snapToGrid w:val="0"/>
          <w:color w:val="000000"/>
          <w:lang w:eastAsia="de-DE" w:bidi="en-US"/>
        </w:rPr>
        <w:t>Fig. 4. PM</w:t>
      </w:r>
      <w:r w:rsidRPr="00D816F4">
        <w:rPr>
          <w:iCs/>
          <w:noProof/>
          <w:snapToGrid w:val="0"/>
          <w:color w:val="000000"/>
          <w:vertAlign w:val="subscript"/>
          <w:lang w:eastAsia="de-DE" w:bidi="en-US"/>
        </w:rPr>
        <w:t>10</w:t>
      </w:r>
      <w:r w:rsidRPr="00D816F4">
        <w:rPr>
          <w:iCs/>
          <w:noProof/>
          <w:snapToGrid w:val="0"/>
          <w:color w:val="000000"/>
          <w:lang w:eastAsia="de-DE" w:bidi="en-US"/>
        </w:rPr>
        <w:t xml:space="preserve"> - Exceedances of the upper assessment threshold of the daily average in the Bucharest-Ilfov region, in the period 2019-2023</w:t>
      </w:r>
    </w:p>
    <w:p w14:paraId="08859971" w14:textId="77777777" w:rsidR="00D816F4" w:rsidRPr="00D816F4" w:rsidRDefault="00D816F4" w:rsidP="00D816F4">
      <w:pPr>
        <w:adjustRightInd w:val="0"/>
        <w:snapToGrid w:val="0"/>
        <w:ind w:firstLine="709"/>
        <w:jc w:val="both"/>
        <w:rPr>
          <w:iCs/>
          <w:noProof/>
          <w:snapToGrid w:val="0"/>
          <w:color w:val="000000"/>
          <w:lang w:eastAsia="de-DE" w:bidi="en-US"/>
        </w:rPr>
      </w:pPr>
    </w:p>
    <w:p w14:paraId="085C3A01" w14:textId="77777777" w:rsidR="00D816F4" w:rsidRPr="00D816F4" w:rsidRDefault="00D816F4" w:rsidP="00B37AE3">
      <w:pPr>
        <w:adjustRightInd w:val="0"/>
        <w:snapToGrid w:val="0"/>
        <w:ind w:firstLine="709"/>
        <w:jc w:val="both"/>
        <w:rPr>
          <w:iCs/>
          <w:noProof/>
          <w:snapToGrid w:val="0"/>
          <w:color w:val="000000"/>
          <w:sz w:val="24"/>
          <w:szCs w:val="24"/>
          <w:lang w:eastAsia="de-DE" w:bidi="en-US"/>
        </w:rPr>
      </w:pPr>
      <w:r w:rsidRPr="00D816F4">
        <w:rPr>
          <w:iCs/>
          <w:noProof/>
          <w:snapToGrid w:val="0"/>
          <w:color w:val="000000"/>
          <w:sz w:val="24"/>
          <w:szCs w:val="24"/>
          <w:lang w:eastAsia="de-DE" w:bidi="en-US"/>
        </w:rPr>
        <w:t>By examining the data in the Fig. 4 chart for the period 2019-2023, we can conclude that monitoring stations B1 to B7 recorded the maximum number of exceedences of the upper assessment threshold of the daily average of 35 µg/m³. This maximum value was achieved by a total of 154 exceedances registered at station B3 in 2019, which represents a 345% exceedance of the maximum admissible number of 35 exceedances. The lowest concentration registered was captured at station B8, where no exceedances of the upper assessment threshold for the daily average were detected in 2019-2023, with a value of 16 µg/m³.</w:t>
      </w:r>
    </w:p>
    <w:p w14:paraId="5529E372" w14:textId="77777777" w:rsidR="00D816F4" w:rsidRDefault="00D816F4" w:rsidP="00B37AE3">
      <w:pPr>
        <w:adjustRightInd w:val="0"/>
        <w:snapToGrid w:val="0"/>
        <w:ind w:firstLine="709"/>
        <w:jc w:val="both"/>
        <w:rPr>
          <w:iCs/>
          <w:noProof/>
          <w:snapToGrid w:val="0"/>
          <w:color w:val="000000"/>
          <w:sz w:val="24"/>
          <w:szCs w:val="24"/>
          <w:lang w:eastAsia="de-DE" w:bidi="en-US"/>
        </w:rPr>
      </w:pPr>
      <w:r w:rsidRPr="00D816F4">
        <w:rPr>
          <w:iCs/>
          <w:noProof/>
          <w:snapToGrid w:val="0"/>
          <w:color w:val="000000"/>
          <w:sz w:val="24"/>
          <w:szCs w:val="24"/>
          <w:lang w:eastAsia="de-DE" w:bidi="en-US"/>
        </w:rPr>
        <w:t>The lowest recorded concentration value was 16 µg/m³ at station B8, which did not exceed the upper assessment threshold for the daily average during 2019-2023. For the upper assessment threshold we have a limit of 28 µg/m³ for the annual average.</w:t>
      </w:r>
    </w:p>
    <w:p w14:paraId="119B3CEA" w14:textId="77777777" w:rsidR="00310D27" w:rsidRPr="00D816F4" w:rsidRDefault="00310D27" w:rsidP="00B37AE3">
      <w:pPr>
        <w:adjustRightInd w:val="0"/>
        <w:snapToGrid w:val="0"/>
        <w:ind w:firstLine="709"/>
        <w:jc w:val="both"/>
        <w:rPr>
          <w:iCs/>
          <w:noProof/>
          <w:snapToGrid w:val="0"/>
          <w:color w:val="000000"/>
          <w:sz w:val="12"/>
          <w:szCs w:val="12"/>
          <w:lang w:eastAsia="de-DE" w:bidi="en-US"/>
        </w:rPr>
      </w:pPr>
    </w:p>
    <w:p w14:paraId="43077743" w14:textId="77777777" w:rsidR="00D816F4" w:rsidRPr="00D816F4" w:rsidRDefault="00D816F4" w:rsidP="00310D27">
      <w:pPr>
        <w:adjustRightInd w:val="0"/>
        <w:snapToGrid w:val="0"/>
        <w:spacing w:line="360" w:lineRule="auto"/>
        <w:jc w:val="center"/>
        <w:rPr>
          <w:i/>
          <w:noProof/>
          <w:snapToGrid w:val="0"/>
          <w:color w:val="000000"/>
          <w:sz w:val="24"/>
          <w:szCs w:val="24"/>
          <w:lang w:eastAsia="de-DE" w:bidi="en-US"/>
        </w:rPr>
      </w:pPr>
      <w:r w:rsidRPr="00D816F4">
        <w:rPr>
          <w:i/>
          <w:noProof/>
          <w:snapToGrid w:val="0"/>
          <w:color w:val="000000"/>
          <w:sz w:val="24"/>
          <w:szCs w:val="24"/>
          <w:lang w:eastAsia="de-DE" w:bidi="en-US"/>
        </w:rPr>
        <w:drawing>
          <wp:inline distT="0" distB="0" distL="0" distR="0" wp14:anchorId="7B971935" wp14:editId="6EAF10B8">
            <wp:extent cx="5005070" cy="1574800"/>
            <wp:effectExtent l="0" t="0" r="5080" b="6350"/>
            <wp:docPr id="739283386" name="Chart 1">
              <a:extLst xmlns:a="http://schemas.openxmlformats.org/drawingml/2006/main">
                <a:ext uri="{FF2B5EF4-FFF2-40B4-BE49-F238E27FC236}">
                  <a16:creationId xmlns:a16="http://schemas.microsoft.com/office/drawing/2014/main" id="{1AD6397F-7083-D66D-530B-0D64F822EA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0771FEE" w14:textId="77777777" w:rsidR="00D816F4" w:rsidRPr="00D816F4" w:rsidRDefault="00D816F4" w:rsidP="00310D27">
      <w:pPr>
        <w:adjustRightInd w:val="0"/>
        <w:snapToGrid w:val="0"/>
        <w:spacing w:after="60"/>
        <w:jc w:val="center"/>
        <w:rPr>
          <w:iCs/>
          <w:noProof/>
          <w:snapToGrid w:val="0"/>
          <w:color w:val="000000"/>
          <w:lang w:eastAsia="de-DE" w:bidi="en-US"/>
        </w:rPr>
      </w:pPr>
      <w:r w:rsidRPr="00D816F4">
        <w:rPr>
          <w:iCs/>
          <w:noProof/>
          <w:snapToGrid w:val="0"/>
          <w:color w:val="000000"/>
          <w:lang w:eastAsia="de-DE" w:bidi="en-US"/>
        </w:rPr>
        <w:t>Fig. 5. PM</w:t>
      </w:r>
      <w:r w:rsidRPr="00D816F4">
        <w:rPr>
          <w:iCs/>
          <w:noProof/>
          <w:snapToGrid w:val="0"/>
          <w:color w:val="000000"/>
          <w:vertAlign w:val="subscript"/>
          <w:lang w:eastAsia="de-DE" w:bidi="en-US"/>
        </w:rPr>
        <w:t xml:space="preserve">10 </w:t>
      </w:r>
      <w:r w:rsidRPr="00D816F4">
        <w:rPr>
          <w:iCs/>
          <w:noProof/>
          <w:snapToGrid w:val="0"/>
          <w:color w:val="000000"/>
          <w:lang w:eastAsia="de-DE" w:bidi="en-US"/>
        </w:rPr>
        <w:t>- Exceedances of the upper assessment threshold of the annual average in the Bucharest-Ilfov region, during 2019-2023</w:t>
      </w:r>
    </w:p>
    <w:p w14:paraId="4510B817" w14:textId="77777777" w:rsidR="00D816F4" w:rsidRPr="00D816F4" w:rsidRDefault="00D816F4" w:rsidP="00B37AE3">
      <w:pPr>
        <w:adjustRightInd w:val="0"/>
        <w:snapToGrid w:val="0"/>
        <w:ind w:firstLine="709"/>
        <w:jc w:val="both"/>
        <w:rPr>
          <w:iCs/>
          <w:noProof/>
          <w:snapToGrid w:val="0"/>
          <w:color w:val="000000"/>
          <w:sz w:val="24"/>
          <w:szCs w:val="24"/>
          <w:lang w:eastAsia="de-DE" w:bidi="en-US"/>
        </w:rPr>
      </w:pPr>
      <w:r w:rsidRPr="00D816F4">
        <w:rPr>
          <w:iCs/>
          <w:noProof/>
          <w:snapToGrid w:val="0"/>
          <w:color w:val="000000"/>
          <w:sz w:val="24"/>
          <w:szCs w:val="24"/>
          <w:lang w:eastAsia="de-DE" w:bidi="en-US"/>
        </w:rPr>
        <w:t xml:space="preserve">For the 2019-2023 period, exceedances of the upper assessment threshold for the annual mean at monitoring station B1 were registered in 2019 only, with a value of 28.21 µg/m³ (1%), and in 2020, with a concentration of 29.21 µg/m³ (4%). In the 2021-2023 period, the annual mean concentrations did not exceed this limit. </w:t>
      </w:r>
      <w:r w:rsidRPr="00D816F4">
        <w:rPr>
          <w:iCs/>
          <w:noProof/>
          <w:snapToGrid w:val="0"/>
          <w:color w:val="000000"/>
          <w:sz w:val="24"/>
          <w:szCs w:val="24"/>
          <w:lang w:eastAsia="de-DE" w:bidi="en-US"/>
        </w:rPr>
        <w:lastRenderedPageBreak/>
        <w:t>At monitoring station B3, the limit was exceeded each year, with a maximum value of 35.69 µg/m³ (27%) reported in 2019.</w:t>
      </w:r>
    </w:p>
    <w:p w14:paraId="2D7320E6" w14:textId="77777777" w:rsidR="00D816F4" w:rsidRPr="00D816F4" w:rsidRDefault="00D816F4" w:rsidP="00B37AE3">
      <w:pPr>
        <w:adjustRightInd w:val="0"/>
        <w:snapToGrid w:val="0"/>
        <w:ind w:firstLine="709"/>
        <w:jc w:val="both"/>
        <w:rPr>
          <w:iCs/>
          <w:noProof/>
          <w:snapToGrid w:val="0"/>
          <w:color w:val="000000"/>
          <w:sz w:val="24"/>
          <w:szCs w:val="24"/>
          <w:lang w:eastAsia="de-DE" w:bidi="en-US"/>
        </w:rPr>
      </w:pPr>
      <w:r w:rsidRPr="00D816F4">
        <w:rPr>
          <w:iCs/>
          <w:noProof/>
          <w:snapToGrid w:val="0"/>
          <w:color w:val="000000"/>
          <w:sz w:val="24"/>
          <w:szCs w:val="24"/>
          <w:lang w:eastAsia="de-DE" w:bidi="en-US"/>
        </w:rPr>
        <w:t xml:space="preserve">At station B5, the limit value was exceeded in 2019 only, with a concentration of 30.04 µg/m³ (7%). At station B6, the limit was exceeded in 2019, with a value of 34.41 µg/m³ (23%), in 2020, with a concentration of 28.87 µg/m³ (3%), and between 2021-2023, the limit was not exceeded. Furthermore, for 2019-2023 the limit value was also not exceeded at stations B2, B4, B7 and B8. </w:t>
      </w:r>
    </w:p>
    <w:p w14:paraId="34C1E987" w14:textId="77777777" w:rsidR="00D816F4" w:rsidRDefault="00D816F4" w:rsidP="00B37AE3">
      <w:pPr>
        <w:adjustRightInd w:val="0"/>
        <w:snapToGrid w:val="0"/>
        <w:ind w:firstLine="709"/>
        <w:jc w:val="both"/>
        <w:rPr>
          <w:iCs/>
          <w:noProof/>
          <w:snapToGrid w:val="0"/>
          <w:color w:val="000000"/>
          <w:sz w:val="24"/>
          <w:szCs w:val="24"/>
          <w:lang w:eastAsia="de-DE" w:bidi="en-US"/>
        </w:rPr>
      </w:pPr>
      <w:r w:rsidRPr="00D816F4">
        <w:rPr>
          <w:iCs/>
          <w:noProof/>
          <w:snapToGrid w:val="0"/>
          <w:sz w:val="24"/>
          <w:szCs w:val="24"/>
          <w:lang w:eastAsia="de-DE" w:bidi="en-US"/>
        </w:rPr>
        <w:t xml:space="preserve">For the daily limit value we have a limit of 50 µg/m³, which should not be allowed to be exceeded more than 35 times in a calendar year. </w:t>
      </w:r>
      <w:r w:rsidRPr="00D816F4">
        <w:rPr>
          <w:iCs/>
          <w:noProof/>
          <w:snapToGrid w:val="0"/>
          <w:color w:val="000000"/>
          <w:sz w:val="24"/>
          <w:szCs w:val="24"/>
          <w:lang w:eastAsia="de-DE" w:bidi="en-US"/>
        </w:rPr>
        <w:t>Fig. 6 contains the estimated number of exceedances of the limit value for the daily mean of 50 µg/m³.</w:t>
      </w:r>
    </w:p>
    <w:p w14:paraId="00AA7A77" w14:textId="77777777" w:rsidR="00310D27" w:rsidRPr="00D816F4" w:rsidRDefault="00310D27" w:rsidP="00B37AE3">
      <w:pPr>
        <w:adjustRightInd w:val="0"/>
        <w:snapToGrid w:val="0"/>
        <w:ind w:firstLine="709"/>
        <w:jc w:val="both"/>
        <w:rPr>
          <w:iCs/>
          <w:noProof/>
          <w:snapToGrid w:val="0"/>
          <w:color w:val="000000"/>
          <w:sz w:val="12"/>
          <w:szCs w:val="12"/>
          <w:lang w:eastAsia="de-DE" w:bidi="en-US"/>
        </w:rPr>
      </w:pPr>
    </w:p>
    <w:p w14:paraId="0E28AEF2" w14:textId="77777777" w:rsidR="00D816F4" w:rsidRPr="00D816F4" w:rsidRDefault="00D816F4" w:rsidP="00310D27">
      <w:pPr>
        <w:adjustRightInd w:val="0"/>
        <w:snapToGrid w:val="0"/>
        <w:spacing w:line="360" w:lineRule="auto"/>
        <w:jc w:val="center"/>
        <w:rPr>
          <w:iCs/>
          <w:noProof/>
          <w:snapToGrid w:val="0"/>
          <w:color w:val="000000"/>
          <w:sz w:val="24"/>
          <w:szCs w:val="24"/>
          <w:lang w:eastAsia="de-DE" w:bidi="en-US"/>
        </w:rPr>
      </w:pPr>
      <w:r w:rsidRPr="00D816F4">
        <w:rPr>
          <w:i/>
          <w:noProof/>
          <w:snapToGrid w:val="0"/>
          <w:color w:val="000000"/>
          <w:sz w:val="24"/>
          <w:szCs w:val="24"/>
          <w:lang w:eastAsia="de-DE" w:bidi="en-US"/>
        </w:rPr>
        <w:drawing>
          <wp:inline distT="0" distB="0" distL="0" distR="0" wp14:anchorId="4D215675" wp14:editId="4DF113EC">
            <wp:extent cx="5005070" cy="1817077"/>
            <wp:effectExtent l="0" t="0" r="5080" b="12065"/>
            <wp:docPr id="10615010" name="Chart 1">
              <a:extLst xmlns:a="http://schemas.openxmlformats.org/drawingml/2006/main">
                <a:ext uri="{FF2B5EF4-FFF2-40B4-BE49-F238E27FC236}">
                  <a16:creationId xmlns:a16="http://schemas.microsoft.com/office/drawing/2014/main" id="{5B1AE760-E8F0-4B63-890A-3864E42EDC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9CC37A8" w14:textId="77777777" w:rsidR="00D816F4" w:rsidRPr="00D816F4" w:rsidRDefault="00D816F4" w:rsidP="00310D27">
      <w:pPr>
        <w:adjustRightInd w:val="0"/>
        <w:snapToGrid w:val="0"/>
        <w:spacing w:line="360" w:lineRule="auto"/>
        <w:jc w:val="both"/>
        <w:rPr>
          <w:iCs/>
          <w:noProof/>
          <w:snapToGrid w:val="0"/>
          <w:color w:val="000000"/>
          <w:lang w:eastAsia="de-DE" w:bidi="en-US"/>
        </w:rPr>
      </w:pPr>
      <w:r w:rsidRPr="00D816F4">
        <w:rPr>
          <w:iCs/>
          <w:noProof/>
          <w:snapToGrid w:val="0"/>
          <w:color w:val="000000"/>
          <w:lang w:eastAsia="de-DE" w:bidi="en-US"/>
        </w:rPr>
        <w:t>Fig. 6. PM</w:t>
      </w:r>
      <w:r w:rsidRPr="00D816F4">
        <w:rPr>
          <w:iCs/>
          <w:noProof/>
          <w:snapToGrid w:val="0"/>
          <w:color w:val="000000"/>
          <w:vertAlign w:val="subscript"/>
          <w:lang w:eastAsia="de-DE" w:bidi="en-US"/>
        </w:rPr>
        <w:t>10</w:t>
      </w:r>
      <w:r w:rsidRPr="00D816F4">
        <w:rPr>
          <w:iCs/>
          <w:noProof/>
          <w:snapToGrid w:val="0"/>
          <w:color w:val="000000"/>
          <w:lang w:eastAsia="de-DE" w:bidi="en-US"/>
        </w:rPr>
        <w:t xml:space="preserve"> - Exceedances of the daily limit value in Bucharest - Ilfov, in the period 2019-2023</w:t>
      </w:r>
    </w:p>
    <w:p w14:paraId="3A7FF548" w14:textId="77777777" w:rsidR="00D816F4" w:rsidRDefault="00D816F4" w:rsidP="00B37AE3">
      <w:pPr>
        <w:adjustRightInd w:val="0"/>
        <w:snapToGrid w:val="0"/>
        <w:ind w:firstLine="720"/>
        <w:jc w:val="both"/>
        <w:rPr>
          <w:iCs/>
          <w:noProof/>
          <w:snapToGrid w:val="0"/>
          <w:color w:val="000000"/>
          <w:sz w:val="24"/>
          <w:szCs w:val="24"/>
          <w:lang w:eastAsia="de-DE" w:bidi="en-US"/>
        </w:rPr>
      </w:pPr>
      <w:r w:rsidRPr="00D816F4">
        <w:rPr>
          <w:iCs/>
          <w:noProof/>
          <w:snapToGrid w:val="0"/>
          <w:color w:val="000000"/>
          <w:sz w:val="24"/>
          <w:szCs w:val="24"/>
          <w:lang w:eastAsia="de-DE" w:bidi="en-US"/>
        </w:rPr>
        <w:t xml:space="preserve">By analyzing the graph in Fig. 6, we can identify an alarming situation in terms of achieving conformity with the daily average concentration limit values in 2019, especially at stations B3 and B6, where a significant number of exceedances were recorded. At station B3, the number of exceedances was 31% over the limit, and also at B6 by 9%. However, in the further period, specifically for the period 2020-2023, we have an evident significant improvement, by reporting lower values of 23 exceedances. These results imply a positive trend in air quality management in such areas, revealing the necessity to continue the monitoring and implementation of pollution control measures. </w:t>
      </w:r>
    </w:p>
    <w:p w14:paraId="531B0A87" w14:textId="77777777" w:rsidR="00310D27" w:rsidRPr="00D816F4" w:rsidRDefault="00310D27" w:rsidP="00B37AE3">
      <w:pPr>
        <w:adjustRightInd w:val="0"/>
        <w:snapToGrid w:val="0"/>
        <w:ind w:firstLine="720"/>
        <w:jc w:val="both"/>
        <w:rPr>
          <w:iCs/>
          <w:noProof/>
          <w:snapToGrid w:val="0"/>
          <w:color w:val="000000"/>
          <w:sz w:val="12"/>
          <w:szCs w:val="12"/>
          <w:lang w:eastAsia="de-DE" w:bidi="en-US"/>
        </w:rPr>
      </w:pPr>
    </w:p>
    <w:p w14:paraId="59F1AF69" w14:textId="77777777" w:rsidR="00D816F4" w:rsidRPr="00D816F4" w:rsidRDefault="00D816F4" w:rsidP="00310D27">
      <w:pPr>
        <w:adjustRightInd w:val="0"/>
        <w:snapToGrid w:val="0"/>
        <w:spacing w:line="360" w:lineRule="auto"/>
        <w:jc w:val="center"/>
        <w:rPr>
          <w:iCs/>
          <w:noProof/>
          <w:snapToGrid w:val="0"/>
          <w:color w:val="000000"/>
          <w:sz w:val="24"/>
          <w:szCs w:val="24"/>
          <w:lang w:eastAsia="de-DE" w:bidi="en-US"/>
        </w:rPr>
      </w:pPr>
      <w:r w:rsidRPr="00D816F4">
        <w:rPr>
          <w:i/>
          <w:noProof/>
          <w:snapToGrid w:val="0"/>
          <w:color w:val="000000"/>
          <w:sz w:val="24"/>
          <w:szCs w:val="24"/>
          <w:lang w:eastAsia="de-DE" w:bidi="en-US"/>
          <w14:ligatures w14:val="standardContextual"/>
        </w:rPr>
        <w:drawing>
          <wp:inline distT="0" distB="0" distL="0" distR="0" wp14:anchorId="4EEC8F89" wp14:editId="644B52A9">
            <wp:extent cx="4831080" cy="1295400"/>
            <wp:effectExtent l="0" t="0" r="7620" b="0"/>
            <wp:docPr id="433304453" name="Chart 1">
              <a:extLst xmlns:a="http://schemas.openxmlformats.org/drawingml/2006/main">
                <a:ext uri="{FF2B5EF4-FFF2-40B4-BE49-F238E27FC236}">
                  <a16:creationId xmlns:a16="http://schemas.microsoft.com/office/drawing/2014/main" id="{AC1D318D-D76A-98C0-25F2-E425B06618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7E32A56" w14:textId="77777777" w:rsidR="00D816F4" w:rsidRPr="00D816F4" w:rsidRDefault="00D816F4" w:rsidP="00310D27">
      <w:pPr>
        <w:adjustRightInd w:val="0"/>
        <w:snapToGrid w:val="0"/>
        <w:spacing w:line="360" w:lineRule="auto"/>
        <w:jc w:val="center"/>
        <w:rPr>
          <w:iCs/>
          <w:noProof/>
          <w:snapToGrid w:val="0"/>
          <w:color w:val="000000"/>
          <w:lang w:eastAsia="de-DE" w:bidi="en-US"/>
        </w:rPr>
      </w:pPr>
      <w:r w:rsidRPr="00D816F4">
        <w:rPr>
          <w:iCs/>
          <w:noProof/>
          <w:snapToGrid w:val="0"/>
          <w:color w:val="000000"/>
          <w:lang w:eastAsia="de-DE" w:bidi="en-US"/>
        </w:rPr>
        <w:t>Fig. 7. PM</w:t>
      </w:r>
      <w:r w:rsidRPr="00D816F4">
        <w:rPr>
          <w:iCs/>
          <w:noProof/>
          <w:snapToGrid w:val="0"/>
          <w:color w:val="000000"/>
          <w:vertAlign w:val="subscript"/>
          <w:lang w:eastAsia="de-DE" w:bidi="en-US"/>
        </w:rPr>
        <w:t>10</w:t>
      </w:r>
      <w:r w:rsidRPr="00D816F4">
        <w:rPr>
          <w:iCs/>
          <w:noProof/>
          <w:snapToGrid w:val="0"/>
          <w:color w:val="000000"/>
          <w:lang w:eastAsia="de-DE" w:bidi="en-US"/>
        </w:rPr>
        <w:t xml:space="preserve"> - Annual limit vale in the Bucharest-Ilfov area, in the reporting period 2019-2023</w:t>
      </w:r>
    </w:p>
    <w:p w14:paraId="50DBDAE4" w14:textId="77777777" w:rsidR="00D816F4" w:rsidRPr="00D816F4" w:rsidRDefault="00D816F4" w:rsidP="00B37AE3">
      <w:pPr>
        <w:adjustRightInd w:val="0"/>
        <w:snapToGrid w:val="0"/>
        <w:ind w:firstLine="709"/>
        <w:jc w:val="both"/>
        <w:rPr>
          <w:iCs/>
          <w:noProof/>
          <w:snapToGrid w:val="0"/>
          <w:color w:val="000000"/>
          <w:sz w:val="24"/>
          <w:szCs w:val="24"/>
          <w:lang w:eastAsia="de-DE" w:bidi="en-US"/>
        </w:rPr>
      </w:pPr>
      <w:r w:rsidRPr="00D816F4">
        <w:rPr>
          <w:iCs/>
          <w:noProof/>
          <w:snapToGrid w:val="0"/>
          <w:color w:val="000000"/>
          <w:sz w:val="24"/>
          <w:szCs w:val="24"/>
          <w:lang w:eastAsia="de-DE" w:bidi="en-US"/>
        </w:rPr>
        <w:lastRenderedPageBreak/>
        <w:t>The graph in Fig. 7 illustrates the annual average concentrations of PM</w:t>
      </w:r>
      <w:r w:rsidRPr="00D816F4">
        <w:rPr>
          <w:iCs/>
          <w:noProof/>
          <w:snapToGrid w:val="0"/>
          <w:color w:val="000000"/>
          <w:sz w:val="24"/>
          <w:szCs w:val="24"/>
          <w:vertAlign w:val="subscript"/>
          <w:lang w:eastAsia="de-DE" w:bidi="en-US"/>
        </w:rPr>
        <w:t xml:space="preserve">10 </w:t>
      </w:r>
      <w:r w:rsidRPr="00D816F4">
        <w:rPr>
          <w:iCs/>
          <w:noProof/>
          <w:snapToGrid w:val="0"/>
          <w:color w:val="000000"/>
          <w:sz w:val="24"/>
          <w:szCs w:val="24"/>
          <w:lang w:eastAsia="de-DE" w:bidi="en-US"/>
        </w:rPr>
        <w:t>particulate matter in the air from 2019 to 2023. The data suggest a moderate decreasing trend in PM</w:t>
      </w:r>
      <w:r w:rsidRPr="00D816F4">
        <w:rPr>
          <w:iCs/>
          <w:noProof/>
          <w:snapToGrid w:val="0"/>
          <w:color w:val="000000"/>
          <w:sz w:val="24"/>
          <w:szCs w:val="24"/>
          <w:vertAlign w:val="subscript"/>
          <w:lang w:eastAsia="de-DE" w:bidi="en-US"/>
        </w:rPr>
        <w:t>10</w:t>
      </w:r>
      <w:r w:rsidRPr="00D816F4">
        <w:rPr>
          <w:iCs/>
          <w:noProof/>
          <w:snapToGrid w:val="0"/>
          <w:color w:val="000000"/>
          <w:sz w:val="24"/>
          <w:szCs w:val="24"/>
          <w:lang w:eastAsia="de-DE" w:bidi="en-US"/>
        </w:rPr>
        <w:t xml:space="preserve"> concentrations in time. This hints an improvement in air quality. There are significant fluctuations between PM</w:t>
      </w:r>
      <w:r w:rsidRPr="00D816F4">
        <w:rPr>
          <w:iCs/>
          <w:noProof/>
          <w:snapToGrid w:val="0"/>
          <w:color w:val="000000"/>
          <w:sz w:val="24"/>
          <w:szCs w:val="24"/>
          <w:vertAlign w:val="subscript"/>
          <w:lang w:eastAsia="de-DE" w:bidi="en-US"/>
        </w:rPr>
        <w:t>10</w:t>
      </w:r>
      <w:r w:rsidRPr="00D816F4">
        <w:rPr>
          <w:iCs/>
          <w:noProof/>
          <w:snapToGrid w:val="0"/>
          <w:color w:val="000000"/>
          <w:sz w:val="24"/>
          <w:szCs w:val="24"/>
          <w:lang w:eastAsia="de-DE" w:bidi="en-US"/>
        </w:rPr>
        <w:t xml:space="preserve"> concentrations at different monitoring stations. For example, station B3 has the maximum values, while station B8 has the lowest values. However, none of these stations has exceeded the annual limit exceedance value. </w:t>
      </w:r>
      <w:bookmarkStart w:id="0" w:name="page3"/>
      <w:bookmarkEnd w:id="0"/>
    </w:p>
    <w:p w14:paraId="1D6938C4" w14:textId="3178F4C6" w:rsidR="00D816F4" w:rsidRPr="00D816F4" w:rsidRDefault="00D816F4" w:rsidP="00B37AE3">
      <w:pPr>
        <w:adjustRightInd w:val="0"/>
        <w:snapToGrid w:val="0"/>
        <w:ind w:firstLine="709"/>
        <w:jc w:val="both"/>
        <w:rPr>
          <w:snapToGrid w:val="0"/>
          <w:color w:val="000000"/>
          <w:sz w:val="24"/>
          <w:szCs w:val="24"/>
          <w:lang w:eastAsia="de-DE" w:bidi="en-US"/>
        </w:rPr>
      </w:pPr>
      <w:r w:rsidRPr="00D816F4">
        <w:rPr>
          <w:snapToGrid w:val="0"/>
          <w:color w:val="000000"/>
          <w:sz w:val="24"/>
          <w:szCs w:val="24"/>
          <w:lang w:eastAsia="de-DE" w:bidi="en-US"/>
        </w:rPr>
        <w:t xml:space="preserve">For the upper assessment limit for the annual average, the </w:t>
      </w:r>
      <w:r w:rsidR="00B37AE3" w:rsidRPr="00D816F4">
        <w:rPr>
          <w:snapToGrid w:val="0"/>
          <w:color w:val="000000"/>
          <w:sz w:val="24"/>
          <w:szCs w:val="24"/>
          <w:lang w:eastAsia="de-DE" w:bidi="en-US"/>
        </w:rPr>
        <w:t>data analyzed</w:t>
      </w:r>
      <w:r w:rsidRPr="00D816F4">
        <w:rPr>
          <w:snapToGrid w:val="0"/>
          <w:color w:val="000000"/>
          <w:sz w:val="24"/>
          <w:szCs w:val="24"/>
          <w:lang w:eastAsia="de-DE" w:bidi="en-US"/>
        </w:rPr>
        <w:t xml:space="preserve"> had identified substantial gaps. Particularly, stations B1, B3, B5 and B6 reported exceedances of the upper assessment threshold for the annual average, which indicates a persistent problem in air pollution management. In contrast, stations B2, B4, B7, and B8 all reported no exceedances of the annual limit, with a substantial improvement of air quality in these locations.</w:t>
      </w:r>
    </w:p>
    <w:p w14:paraId="68B38C2B" w14:textId="2AD353A2" w:rsidR="00D816F4" w:rsidRPr="00D816F4" w:rsidRDefault="00D816F4" w:rsidP="00B37AE3">
      <w:pPr>
        <w:adjustRightInd w:val="0"/>
        <w:snapToGrid w:val="0"/>
        <w:ind w:firstLine="709"/>
        <w:jc w:val="both"/>
        <w:rPr>
          <w:snapToGrid w:val="0"/>
          <w:color w:val="000000"/>
          <w:sz w:val="24"/>
          <w:szCs w:val="24"/>
          <w:lang w:eastAsia="de-DE" w:bidi="en-US"/>
        </w:rPr>
      </w:pPr>
      <w:r w:rsidRPr="00D816F4">
        <w:rPr>
          <w:bCs/>
          <w:snapToGrid w:val="0"/>
          <w:color w:val="000000"/>
          <w:sz w:val="24"/>
          <w:szCs w:val="24"/>
          <w:lang w:eastAsia="de-DE" w:bidi="en-US"/>
        </w:rPr>
        <w:t>For the annual limit value, PM</w:t>
      </w:r>
      <w:r w:rsidRPr="00D816F4">
        <w:rPr>
          <w:bCs/>
          <w:snapToGrid w:val="0"/>
          <w:color w:val="000000"/>
          <w:sz w:val="24"/>
          <w:szCs w:val="24"/>
          <w:vertAlign w:val="subscript"/>
          <w:lang w:eastAsia="de-DE" w:bidi="en-US"/>
        </w:rPr>
        <w:t>10</w:t>
      </w:r>
      <w:r w:rsidRPr="00D816F4">
        <w:rPr>
          <w:bCs/>
          <w:snapToGrid w:val="0"/>
          <w:color w:val="000000"/>
          <w:sz w:val="24"/>
          <w:szCs w:val="24"/>
          <w:lang w:eastAsia="de-DE" w:bidi="en-US"/>
        </w:rPr>
        <w:t xml:space="preserve"> concentrations in the air indicate a descending trend, which suggests a significant improvement </w:t>
      </w:r>
      <w:proofErr w:type="gramStart"/>
      <w:r w:rsidRPr="00D816F4">
        <w:rPr>
          <w:bCs/>
          <w:snapToGrid w:val="0"/>
          <w:color w:val="000000"/>
          <w:sz w:val="24"/>
          <w:szCs w:val="24"/>
          <w:lang w:eastAsia="de-DE" w:bidi="en-US"/>
        </w:rPr>
        <w:t>of</w:t>
      </w:r>
      <w:proofErr w:type="gramEnd"/>
      <w:r w:rsidRPr="00D816F4">
        <w:rPr>
          <w:bCs/>
          <w:snapToGrid w:val="0"/>
          <w:color w:val="000000"/>
          <w:sz w:val="24"/>
          <w:szCs w:val="24"/>
          <w:lang w:eastAsia="de-DE" w:bidi="en-US"/>
        </w:rPr>
        <w:t xml:space="preserve"> air quality. Despite the notable fluctuations between the measured values at the different monitoring stations, with B3 station registering the highest concentrations and B8 station the lowest, the results are encouraging, no exceedances were reported at any of these stations of the annual limit of 40 µg/m³.</w:t>
      </w:r>
      <w:r w:rsidRPr="00D816F4">
        <w:rPr>
          <w:b/>
          <w:snapToGrid w:val="0"/>
          <w:color w:val="000000"/>
          <w:sz w:val="24"/>
          <w:szCs w:val="24"/>
          <w:lang w:eastAsia="de-DE" w:bidi="en-US"/>
        </w:rPr>
        <w:t xml:space="preserve"> </w:t>
      </w:r>
      <w:r w:rsidRPr="00D816F4">
        <w:rPr>
          <w:snapToGrid w:val="0"/>
          <w:color w:val="000000"/>
          <w:sz w:val="24"/>
          <w:szCs w:val="24"/>
          <w:lang w:eastAsia="de-DE" w:bidi="en-US"/>
        </w:rPr>
        <w:t xml:space="preserve">The </w:t>
      </w:r>
      <w:r w:rsidR="00B37AE3" w:rsidRPr="00D816F4">
        <w:rPr>
          <w:snapToGrid w:val="0"/>
          <w:color w:val="000000"/>
          <w:sz w:val="24"/>
          <w:szCs w:val="24"/>
          <w:lang w:eastAsia="de-DE" w:bidi="en-US"/>
        </w:rPr>
        <w:t>downward</w:t>
      </w:r>
      <w:r w:rsidRPr="00D816F4">
        <w:rPr>
          <w:snapToGrid w:val="0"/>
          <w:color w:val="000000"/>
          <w:sz w:val="24"/>
          <w:szCs w:val="24"/>
          <w:lang w:eastAsia="de-DE" w:bidi="en-US"/>
        </w:rPr>
        <w:t xml:space="preserve"> trend of </w:t>
      </w:r>
      <w:proofErr w:type="gramStart"/>
      <w:r w:rsidRPr="00D816F4">
        <w:rPr>
          <w:snapToGrid w:val="0"/>
          <w:color w:val="000000"/>
          <w:sz w:val="24"/>
          <w:szCs w:val="24"/>
          <w:lang w:eastAsia="de-DE" w:bidi="en-US"/>
        </w:rPr>
        <w:t>PM</w:t>
      </w:r>
      <w:r w:rsidRPr="00D816F4">
        <w:rPr>
          <w:snapToGrid w:val="0"/>
          <w:color w:val="000000"/>
          <w:sz w:val="24"/>
          <w:szCs w:val="24"/>
          <w:vertAlign w:val="subscript"/>
          <w:lang w:eastAsia="de-DE" w:bidi="en-US"/>
        </w:rPr>
        <w:t>10,</w:t>
      </w:r>
      <w:proofErr w:type="gramEnd"/>
      <w:r w:rsidRPr="00D816F4">
        <w:rPr>
          <w:snapToGrid w:val="0"/>
          <w:color w:val="000000"/>
          <w:sz w:val="24"/>
          <w:szCs w:val="24"/>
          <w:vertAlign w:val="subscript"/>
          <w:lang w:eastAsia="de-DE" w:bidi="en-US"/>
        </w:rPr>
        <w:t xml:space="preserve"> </w:t>
      </w:r>
      <w:r w:rsidRPr="00D816F4">
        <w:rPr>
          <w:snapToGrid w:val="0"/>
          <w:color w:val="000000"/>
          <w:sz w:val="24"/>
          <w:szCs w:val="24"/>
          <w:lang w:eastAsia="de-DE" w:bidi="en-US"/>
        </w:rPr>
        <w:t xml:space="preserve">burst out during pandemic COVID19 period, when most of the employees had started remote working and </w:t>
      </w:r>
      <w:r w:rsidR="00B37AE3" w:rsidRPr="00D816F4">
        <w:rPr>
          <w:snapToGrid w:val="0"/>
          <w:color w:val="000000"/>
          <w:sz w:val="24"/>
          <w:szCs w:val="24"/>
          <w:lang w:eastAsia="de-DE" w:bidi="en-US"/>
        </w:rPr>
        <w:t>continued</w:t>
      </w:r>
      <w:r w:rsidRPr="00D816F4">
        <w:rPr>
          <w:snapToGrid w:val="0"/>
          <w:color w:val="000000"/>
          <w:sz w:val="24"/>
          <w:szCs w:val="24"/>
          <w:lang w:eastAsia="de-DE" w:bidi="en-US"/>
        </w:rPr>
        <w:t xml:space="preserve"> to practice hybrid work. Moreover, S.T.B. - S.A. has expanded and upgraded its fleet (43%), with electric buses, EURO 6 buses, new trams and new trolleybuses over the last 4 years.</w:t>
      </w:r>
      <w:r w:rsidRPr="00D816F4">
        <w:rPr>
          <w:b/>
          <w:snapToGrid w:val="0"/>
          <w:color w:val="000000"/>
          <w:sz w:val="24"/>
          <w:szCs w:val="24"/>
          <w:lang w:eastAsia="de-DE" w:bidi="en-US"/>
        </w:rPr>
        <w:t xml:space="preserve"> </w:t>
      </w:r>
      <w:r w:rsidRPr="00D816F4">
        <w:rPr>
          <w:snapToGrid w:val="0"/>
          <w:color w:val="000000"/>
          <w:sz w:val="24"/>
          <w:szCs w:val="24"/>
          <w:lang w:eastAsia="de-DE" w:bidi="en-US"/>
        </w:rPr>
        <w:t xml:space="preserve">[26]. </w:t>
      </w:r>
    </w:p>
    <w:p w14:paraId="4B154D13" w14:textId="14D88D29" w:rsidR="00D816F4" w:rsidRDefault="00D816F4" w:rsidP="00B37AE3">
      <w:pPr>
        <w:adjustRightInd w:val="0"/>
        <w:snapToGrid w:val="0"/>
        <w:ind w:firstLine="709"/>
        <w:jc w:val="both"/>
        <w:rPr>
          <w:snapToGrid w:val="0"/>
          <w:color w:val="000000"/>
          <w:sz w:val="24"/>
          <w:szCs w:val="24"/>
          <w:lang w:eastAsia="de-DE" w:bidi="en-US"/>
        </w:rPr>
      </w:pPr>
      <w:r w:rsidRPr="00D816F4">
        <w:rPr>
          <w:snapToGrid w:val="0"/>
          <w:color w:val="000000"/>
          <w:sz w:val="24"/>
          <w:szCs w:val="24"/>
          <w:lang w:eastAsia="de-DE" w:bidi="en-US"/>
        </w:rPr>
        <w:t xml:space="preserve">This reveals the significant impact of </w:t>
      </w:r>
      <w:r w:rsidRPr="00D816F4">
        <w:rPr>
          <w:iCs/>
          <w:snapToGrid w:val="0"/>
          <w:color w:val="000000"/>
          <w:sz w:val="24"/>
          <w:szCs w:val="24"/>
          <w:lang w:eastAsia="de-DE" w:bidi="en-US"/>
        </w:rPr>
        <w:t>PM</w:t>
      </w:r>
      <w:r w:rsidRPr="00D816F4">
        <w:rPr>
          <w:iCs/>
          <w:snapToGrid w:val="0"/>
          <w:color w:val="000000"/>
          <w:sz w:val="24"/>
          <w:szCs w:val="24"/>
          <w:vertAlign w:val="subscript"/>
          <w:lang w:eastAsia="de-DE" w:bidi="en-US"/>
        </w:rPr>
        <w:t>10</w:t>
      </w:r>
      <w:r w:rsidRPr="00D816F4">
        <w:rPr>
          <w:snapToGrid w:val="0"/>
          <w:color w:val="000000"/>
          <w:sz w:val="24"/>
          <w:szCs w:val="24"/>
          <w:lang w:eastAsia="de-DE" w:bidi="en-US"/>
        </w:rPr>
        <w:t xml:space="preserve"> emissions on air quality in the Bucharest-Ilfov region, inflicted by activities from the transportation sector, which generate frequent exceedances of the agreed </w:t>
      </w:r>
      <w:r w:rsidR="00B37AE3" w:rsidRPr="00D816F4">
        <w:rPr>
          <w:snapToGrid w:val="0"/>
          <w:color w:val="000000"/>
          <w:sz w:val="24"/>
          <w:szCs w:val="24"/>
          <w:lang w:eastAsia="de-DE" w:bidi="en-US"/>
        </w:rPr>
        <w:t>emission limit</w:t>
      </w:r>
      <w:r w:rsidRPr="00D816F4">
        <w:rPr>
          <w:snapToGrid w:val="0"/>
          <w:color w:val="000000"/>
          <w:sz w:val="24"/>
          <w:szCs w:val="24"/>
          <w:lang w:eastAsia="de-DE" w:bidi="en-US"/>
        </w:rPr>
        <w:t xml:space="preserve"> thresholds. The survey results suggest a concerning pattern of air pollution which has a direct impact on public health. In addition to this, it was marked that monitoring stations from the rural areas, such as station B8</w:t>
      </w:r>
      <w:r w:rsidR="00B37AE3">
        <w:rPr>
          <w:snapToGrid w:val="0"/>
          <w:color w:val="000000"/>
          <w:sz w:val="24"/>
          <w:szCs w:val="24"/>
          <w:lang w:eastAsia="de-DE" w:bidi="en-US"/>
        </w:rPr>
        <w:t>,</w:t>
      </w:r>
      <w:r w:rsidRPr="00D816F4">
        <w:rPr>
          <w:snapToGrid w:val="0"/>
          <w:color w:val="000000"/>
          <w:sz w:val="24"/>
          <w:szCs w:val="24"/>
          <w:lang w:eastAsia="de-DE" w:bidi="en-US"/>
        </w:rPr>
        <w:t xml:space="preserve"> registered significantly diminished pollution levels.</w:t>
      </w:r>
    </w:p>
    <w:p w14:paraId="79CBA429" w14:textId="77777777" w:rsidR="00B37AE3" w:rsidRPr="00D816F4" w:rsidRDefault="00B37AE3" w:rsidP="00B37AE3">
      <w:pPr>
        <w:adjustRightInd w:val="0"/>
        <w:snapToGrid w:val="0"/>
        <w:ind w:firstLine="709"/>
        <w:jc w:val="both"/>
        <w:rPr>
          <w:snapToGrid w:val="0"/>
          <w:color w:val="000000"/>
          <w:sz w:val="24"/>
          <w:szCs w:val="24"/>
          <w:lang w:eastAsia="de-DE" w:bidi="en-US"/>
        </w:rPr>
      </w:pPr>
    </w:p>
    <w:p w14:paraId="64B04BA2" w14:textId="77777777" w:rsidR="00D816F4" w:rsidRPr="00D816F4" w:rsidRDefault="00D816F4">
      <w:pPr>
        <w:numPr>
          <w:ilvl w:val="0"/>
          <w:numId w:val="2"/>
        </w:numPr>
        <w:adjustRightInd w:val="0"/>
        <w:snapToGrid w:val="0"/>
        <w:spacing w:line="360" w:lineRule="auto"/>
        <w:jc w:val="both"/>
        <w:rPr>
          <w:b/>
          <w:snapToGrid w:val="0"/>
          <w:color w:val="000000"/>
          <w:sz w:val="24"/>
          <w:szCs w:val="24"/>
          <w:lang w:eastAsia="de-DE" w:bidi="en-US"/>
        </w:rPr>
      </w:pPr>
      <w:r w:rsidRPr="00D816F4">
        <w:rPr>
          <w:b/>
          <w:snapToGrid w:val="0"/>
          <w:color w:val="000000"/>
          <w:sz w:val="24"/>
          <w:szCs w:val="24"/>
          <w:lang w:eastAsia="de-DE" w:bidi="en-US"/>
        </w:rPr>
        <w:t>Conclusions</w:t>
      </w:r>
    </w:p>
    <w:p w14:paraId="5A5276B1" w14:textId="77777777" w:rsidR="00D816F4" w:rsidRPr="00D816F4" w:rsidRDefault="00D816F4" w:rsidP="00B37AE3">
      <w:pPr>
        <w:adjustRightInd w:val="0"/>
        <w:snapToGrid w:val="0"/>
        <w:ind w:firstLine="709"/>
        <w:jc w:val="both"/>
        <w:rPr>
          <w:snapToGrid w:val="0"/>
          <w:color w:val="000000"/>
          <w:sz w:val="24"/>
          <w:szCs w:val="24"/>
          <w:lang w:eastAsia="de-DE" w:bidi="en-US"/>
        </w:rPr>
      </w:pPr>
      <w:r w:rsidRPr="00D816F4">
        <w:rPr>
          <w:snapToGrid w:val="0"/>
          <w:color w:val="000000"/>
          <w:sz w:val="24"/>
          <w:szCs w:val="24"/>
          <w:lang w:eastAsia="de-DE" w:bidi="en-US"/>
        </w:rPr>
        <w:t xml:space="preserve">The objective of this research was to evaluate the impact of </w:t>
      </w:r>
      <w:r w:rsidRPr="00D816F4">
        <w:rPr>
          <w:iCs/>
          <w:snapToGrid w:val="0"/>
          <w:color w:val="000000"/>
          <w:sz w:val="24"/>
          <w:szCs w:val="24"/>
          <w:lang w:eastAsia="de-DE" w:bidi="en-US"/>
        </w:rPr>
        <w:t>PM</w:t>
      </w:r>
      <w:r w:rsidRPr="00D816F4">
        <w:rPr>
          <w:iCs/>
          <w:snapToGrid w:val="0"/>
          <w:color w:val="000000"/>
          <w:sz w:val="24"/>
          <w:szCs w:val="24"/>
          <w:vertAlign w:val="subscript"/>
          <w:lang w:eastAsia="de-DE" w:bidi="en-US"/>
        </w:rPr>
        <w:t>10</w:t>
      </w:r>
      <w:r w:rsidRPr="00D816F4">
        <w:rPr>
          <w:snapToGrid w:val="0"/>
          <w:color w:val="000000"/>
          <w:sz w:val="24"/>
          <w:szCs w:val="24"/>
          <w:lang w:eastAsia="de-DE" w:bidi="en-US"/>
        </w:rPr>
        <w:t xml:space="preserve"> emissions on the environment and public health and to identify viable solutions to minimize its impact.</w:t>
      </w:r>
    </w:p>
    <w:p w14:paraId="28A05345" w14:textId="77777777" w:rsidR="00D816F4" w:rsidRPr="00D816F4" w:rsidRDefault="00D816F4" w:rsidP="00B37AE3">
      <w:pPr>
        <w:adjustRightInd w:val="0"/>
        <w:snapToGrid w:val="0"/>
        <w:ind w:firstLine="709"/>
        <w:jc w:val="both"/>
        <w:rPr>
          <w:snapToGrid w:val="0"/>
          <w:color w:val="000000"/>
          <w:sz w:val="24"/>
          <w:szCs w:val="24"/>
          <w:lang w:eastAsia="de-DE" w:bidi="en-US"/>
        </w:rPr>
      </w:pPr>
      <w:r w:rsidRPr="00D816F4">
        <w:rPr>
          <w:snapToGrid w:val="0"/>
          <w:color w:val="000000"/>
          <w:sz w:val="24"/>
          <w:szCs w:val="24"/>
          <w:lang w:eastAsia="de-DE" w:bidi="en-US"/>
        </w:rPr>
        <w:t>The analysis of the PM</w:t>
      </w:r>
      <w:r w:rsidRPr="00D816F4">
        <w:rPr>
          <w:snapToGrid w:val="0"/>
          <w:color w:val="000000"/>
          <w:sz w:val="24"/>
          <w:szCs w:val="24"/>
          <w:vertAlign w:val="subscript"/>
          <w:lang w:eastAsia="de-DE" w:bidi="en-US"/>
        </w:rPr>
        <w:t>10</w:t>
      </w:r>
      <w:r w:rsidRPr="00D816F4">
        <w:rPr>
          <w:snapToGrid w:val="0"/>
          <w:color w:val="000000"/>
          <w:sz w:val="24"/>
          <w:szCs w:val="24"/>
          <w:lang w:eastAsia="de-DE" w:bidi="en-US"/>
        </w:rPr>
        <w:t xml:space="preserve"> monitoring data from the eight stations reported an increase in concentrations, according to the specific location of the stations and the dominant pollution sources in the area. PM</w:t>
      </w:r>
      <w:r w:rsidRPr="00D816F4">
        <w:rPr>
          <w:snapToGrid w:val="0"/>
          <w:color w:val="000000"/>
          <w:sz w:val="24"/>
          <w:szCs w:val="24"/>
          <w:vertAlign w:val="subscript"/>
          <w:lang w:eastAsia="de-DE" w:bidi="en-US"/>
        </w:rPr>
        <w:t>10</w:t>
      </w:r>
      <w:r w:rsidRPr="00D816F4">
        <w:rPr>
          <w:snapToGrid w:val="0"/>
          <w:color w:val="000000"/>
          <w:sz w:val="24"/>
          <w:szCs w:val="24"/>
          <w:lang w:eastAsia="de-DE" w:bidi="en-US"/>
        </w:rPr>
        <w:t xml:space="preserve"> concentrations were significantly exceeded in urban areas, with an intense traffic emission (B3, B6) and in industrial areas (B4, B5). This confirms the major impact of traffic and industrial emissions on air quality. The stations located in areas with background emissions (B1, B7), and particularly station B8 in rural areas, presented eloquent lowered PM</w:t>
      </w:r>
      <w:r w:rsidRPr="00D816F4">
        <w:rPr>
          <w:snapToGrid w:val="0"/>
          <w:color w:val="000000"/>
          <w:sz w:val="24"/>
          <w:szCs w:val="24"/>
          <w:vertAlign w:val="subscript"/>
          <w:lang w:eastAsia="de-DE" w:bidi="en-US"/>
        </w:rPr>
        <w:t>10</w:t>
      </w:r>
      <w:r w:rsidRPr="00D816F4">
        <w:rPr>
          <w:snapToGrid w:val="0"/>
          <w:color w:val="000000"/>
          <w:sz w:val="24"/>
          <w:szCs w:val="24"/>
          <w:lang w:eastAsia="de-DE" w:bidi="en-US"/>
        </w:rPr>
        <w:t xml:space="preserve"> </w:t>
      </w:r>
      <w:r w:rsidRPr="00D816F4">
        <w:rPr>
          <w:snapToGrid w:val="0"/>
          <w:color w:val="000000"/>
          <w:sz w:val="24"/>
          <w:szCs w:val="24"/>
          <w:lang w:eastAsia="de-DE" w:bidi="en-US"/>
        </w:rPr>
        <w:lastRenderedPageBreak/>
        <w:t>concentrations. The study recommends the necessity to apply specific emission monitoring strategies, focused on the specific area characteristics and prevailing sources of pollution, to improve the air quality and preserve the human health.</w:t>
      </w:r>
    </w:p>
    <w:p w14:paraId="29A75848" w14:textId="7E914FFC" w:rsidR="00D816F4" w:rsidRPr="00D816F4" w:rsidRDefault="00D816F4" w:rsidP="00B37AE3">
      <w:pPr>
        <w:adjustRightInd w:val="0"/>
        <w:snapToGrid w:val="0"/>
        <w:ind w:firstLine="709"/>
        <w:jc w:val="both"/>
        <w:rPr>
          <w:snapToGrid w:val="0"/>
          <w:color w:val="000000"/>
          <w:sz w:val="24"/>
          <w:szCs w:val="24"/>
          <w:lang w:eastAsia="de-DE" w:bidi="en-US"/>
        </w:rPr>
      </w:pPr>
      <w:r w:rsidRPr="00D816F4">
        <w:rPr>
          <w:snapToGrid w:val="0"/>
          <w:color w:val="000000"/>
          <w:sz w:val="24"/>
          <w:szCs w:val="24"/>
          <w:lang w:eastAsia="de-DE" w:bidi="en-US"/>
        </w:rPr>
        <w:t xml:space="preserve">The year </w:t>
      </w:r>
      <w:r w:rsidR="00B37AE3" w:rsidRPr="00D816F4">
        <w:rPr>
          <w:snapToGrid w:val="0"/>
          <w:color w:val="000000"/>
          <w:sz w:val="24"/>
          <w:szCs w:val="24"/>
          <w:lang w:eastAsia="de-DE" w:bidi="en-US"/>
        </w:rPr>
        <w:t>2019</w:t>
      </w:r>
      <w:r w:rsidR="00B37AE3">
        <w:rPr>
          <w:snapToGrid w:val="0"/>
          <w:color w:val="000000"/>
          <w:sz w:val="24"/>
          <w:szCs w:val="24"/>
          <w:lang w:eastAsia="de-DE" w:bidi="en-US"/>
        </w:rPr>
        <w:t xml:space="preserve"> </w:t>
      </w:r>
      <w:r w:rsidRPr="00D816F4">
        <w:rPr>
          <w:snapToGrid w:val="0"/>
          <w:color w:val="000000"/>
          <w:sz w:val="24"/>
          <w:szCs w:val="24"/>
          <w:lang w:eastAsia="de-DE" w:bidi="en-US"/>
        </w:rPr>
        <w:t>had the maximum PM</w:t>
      </w:r>
      <w:r w:rsidRPr="00D816F4">
        <w:rPr>
          <w:snapToGrid w:val="0"/>
          <w:color w:val="000000"/>
          <w:sz w:val="24"/>
          <w:szCs w:val="24"/>
          <w:vertAlign w:val="subscript"/>
          <w:lang w:eastAsia="de-DE" w:bidi="en-US"/>
        </w:rPr>
        <w:t>10</w:t>
      </w:r>
      <w:r w:rsidRPr="00D816F4">
        <w:rPr>
          <w:snapToGrid w:val="0"/>
          <w:color w:val="000000"/>
          <w:sz w:val="24"/>
          <w:szCs w:val="24"/>
          <w:lang w:eastAsia="de-DE" w:bidi="en-US"/>
        </w:rPr>
        <w:t xml:space="preserve"> concentrations, while 2023 had the lowest concentrations. The descending trend for PM</w:t>
      </w:r>
      <w:r w:rsidRPr="00D816F4">
        <w:rPr>
          <w:snapToGrid w:val="0"/>
          <w:color w:val="000000"/>
          <w:sz w:val="24"/>
          <w:szCs w:val="24"/>
          <w:vertAlign w:val="subscript"/>
          <w:lang w:eastAsia="de-DE" w:bidi="en-US"/>
        </w:rPr>
        <w:t>10</w:t>
      </w:r>
      <w:r w:rsidRPr="00D816F4">
        <w:rPr>
          <w:snapToGrid w:val="0"/>
          <w:color w:val="000000"/>
          <w:sz w:val="24"/>
          <w:szCs w:val="24"/>
          <w:lang w:eastAsia="de-DE" w:bidi="en-US"/>
        </w:rPr>
        <w:t xml:space="preserve"> concentrations strongly indicates a modest improvement </w:t>
      </w:r>
      <w:proofErr w:type="gramStart"/>
      <w:r w:rsidRPr="00D816F4">
        <w:rPr>
          <w:snapToGrid w:val="0"/>
          <w:color w:val="000000"/>
          <w:sz w:val="24"/>
          <w:szCs w:val="24"/>
          <w:lang w:eastAsia="de-DE" w:bidi="en-US"/>
        </w:rPr>
        <w:t>of</w:t>
      </w:r>
      <w:proofErr w:type="gramEnd"/>
      <w:r w:rsidRPr="00D816F4">
        <w:rPr>
          <w:snapToGrid w:val="0"/>
          <w:color w:val="000000"/>
          <w:sz w:val="24"/>
          <w:szCs w:val="24"/>
          <w:lang w:eastAsia="de-DE" w:bidi="en-US"/>
        </w:rPr>
        <w:t xml:space="preserve"> air quality during the analyzed period. The present analysis is exclusively based on PM</w:t>
      </w:r>
      <w:r w:rsidRPr="00D816F4">
        <w:rPr>
          <w:snapToGrid w:val="0"/>
          <w:color w:val="000000"/>
          <w:sz w:val="24"/>
          <w:szCs w:val="24"/>
          <w:vertAlign w:val="subscript"/>
          <w:lang w:eastAsia="de-DE" w:bidi="en-US"/>
        </w:rPr>
        <w:t>10</w:t>
      </w:r>
      <w:r w:rsidRPr="00D816F4">
        <w:rPr>
          <w:snapToGrid w:val="0"/>
          <w:color w:val="000000"/>
          <w:sz w:val="24"/>
          <w:szCs w:val="24"/>
          <w:lang w:eastAsia="de-DE" w:bidi="en-US"/>
        </w:rPr>
        <w:t xml:space="preserve"> concentration data; a more detailed analysis of the data, considering factors such as: the area specificity, the industry type, traffic volume, the meteorological conditions and other relevant parameters would be required to achieve a complete stance for urban renewal. Based on the results of the 2019-2023 evaluation, the authorities should be able to assess the results and identify efficient policies and regulations to reduce the greenhouse gas emissions from transport and to limit its negative environmental </w:t>
      </w:r>
      <w:proofErr w:type="gramStart"/>
      <w:r w:rsidRPr="00D816F4">
        <w:rPr>
          <w:snapToGrid w:val="0"/>
          <w:color w:val="000000"/>
          <w:sz w:val="24"/>
          <w:szCs w:val="24"/>
          <w:lang w:eastAsia="de-DE" w:bidi="en-US"/>
        </w:rPr>
        <w:t>impacts</w:t>
      </w:r>
      <w:proofErr w:type="gramEnd"/>
      <w:r w:rsidRPr="00D816F4">
        <w:rPr>
          <w:snapToGrid w:val="0"/>
          <w:color w:val="000000"/>
          <w:sz w:val="24"/>
          <w:szCs w:val="24"/>
          <w:lang w:eastAsia="de-DE" w:bidi="en-US"/>
        </w:rPr>
        <w:t>: continuing the procurement of clean, environmentally friendly vehicles, upgrading the tram infrastructure, retrofitting tram depots for electric bus charging stations.</w:t>
      </w:r>
    </w:p>
    <w:p w14:paraId="13F2904F" w14:textId="77777777" w:rsidR="00D816F4" w:rsidRPr="00D816F4" w:rsidRDefault="00D816F4" w:rsidP="00B37AE3">
      <w:pPr>
        <w:adjustRightInd w:val="0"/>
        <w:snapToGrid w:val="0"/>
        <w:ind w:firstLine="709"/>
        <w:jc w:val="both"/>
        <w:rPr>
          <w:snapToGrid w:val="0"/>
          <w:color w:val="000000"/>
          <w:sz w:val="24"/>
          <w:szCs w:val="24"/>
          <w:lang w:eastAsia="de-DE" w:bidi="en-US"/>
        </w:rPr>
      </w:pPr>
    </w:p>
    <w:p w14:paraId="5B96EB7B" w14:textId="77777777" w:rsidR="00D816F4" w:rsidRPr="00D816F4" w:rsidRDefault="00D816F4" w:rsidP="00D816F4">
      <w:pPr>
        <w:keepNext/>
        <w:spacing w:after="240"/>
        <w:jc w:val="center"/>
        <w:rPr>
          <w:caps/>
          <w:sz w:val="24"/>
          <w:szCs w:val="24"/>
        </w:rPr>
      </w:pPr>
      <w:r w:rsidRPr="00D816F4">
        <w:rPr>
          <w:caps/>
          <w:sz w:val="24"/>
          <w:szCs w:val="24"/>
        </w:rPr>
        <w:t>R E F E R E N C E S</w:t>
      </w:r>
    </w:p>
    <w:p w14:paraId="47D4C425" w14:textId="77777777" w:rsidR="00D816F4" w:rsidRPr="00D816F4" w:rsidRDefault="00D816F4" w:rsidP="00B37AE3">
      <w:pPr>
        <w:ind w:left="567" w:hanging="567"/>
        <w:jc w:val="both"/>
        <w:rPr>
          <w:noProof/>
        </w:rPr>
      </w:pPr>
      <w:r w:rsidRPr="00D816F4">
        <w:rPr>
          <w:noProof/>
        </w:rPr>
        <w:t xml:space="preserve">[1] Alfredo Sánchez Vicente - European Environment Agency - Can the transport sector reduce its environmental impact? - European Environment Agency (europa.eu). </w:t>
      </w:r>
    </w:p>
    <w:p w14:paraId="48759FF3" w14:textId="77777777" w:rsidR="00D816F4" w:rsidRPr="00D816F4" w:rsidRDefault="00D816F4" w:rsidP="00B37AE3">
      <w:pPr>
        <w:ind w:left="567" w:hanging="567"/>
        <w:jc w:val="both"/>
        <w:rPr>
          <w:noProof/>
        </w:rPr>
      </w:pPr>
      <w:r w:rsidRPr="00D816F4">
        <w:rPr>
          <w:noProof/>
        </w:rPr>
        <w:t>[2] World Conference on Transport Research – WCTR 2019, Mumbai, 26-30 May 2019 Greenhouse gas emissions associated with road transport projects: status, benchmarking, and assessment tools Francisco D.B. Albuquerquea, Munjed A. Maraqaa, Rezaul Chowdhuryb, Timur Maugaa, and Mohammed Alzarda, Transportation Research Procedia 48 (2020) 2018–2030.</w:t>
      </w:r>
    </w:p>
    <w:p w14:paraId="63860551" w14:textId="77777777" w:rsidR="00D816F4" w:rsidRPr="00D816F4" w:rsidRDefault="00D816F4" w:rsidP="00B37AE3">
      <w:pPr>
        <w:ind w:left="567" w:hanging="567"/>
        <w:jc w:val="both"/>
        <w:rPr>
          <w:noProof/>
        </w:rPr>
      </w:pPr>
      <w:r w:rsidRPr="00D816F4">
        <w:rPr>
          <w:noProof/>
        </w:rPr>
        <w:t>[3] Journal of Cleaner Production, Volume 379, Part 2, 15 December 2022, 134635, Journal of Cleaner Production, Analysing the challenges in building resilient net zero carbon supply chains using Influential Network Relationship Mapping, E.K Vimal, Anil Kumar, Siddharth Meledathu Sunil, Gokul Suresh, Navaneeth Sanjeev, Jayakrishna Kandasamy.</w:t>
      </w:r>
    </w:p>
    <w:p w14:paraId="2786DEAD" w14:textId="77777777" w:rsidR="00D816F4" w:rsidRPr="00D816F4" w:rsidRDefault="00D816F4" w:rsidP="00B37AE3">
      <w:pPr>
        <w:ind w:left="567" w:hanging="567"/>
        <w:jc w:val="both"/>
        <w:rPr>
          <w:noProof/>
        </w:rPr>
      </w:pPr>
      <w:r w:rsidRPr="00D816F4">
        <w:rPr>
          <w:noProof/>
        </w:rPr>
        <w:t>[4] Hannah Ritchie (2020) - “Cars, planes, trains: where do CO₂ emissions from transport come from?” Published online at OurWorldinData.org.</w:t>
      </w:r>
    </w:p>
    <w:p w14:paraId="7C195C0D" w14:textId="77777777" w:rsidR="00D816F4" w:rsidRPr="00D816F4" w:rsidRDefault="00D816F4" w:rsidP="00B37AE3">
      <w:pPr>
        <w:ind w:left="567" w:hanging="567"/>
        <w:jc w:val="both"/>
        <w:rPr>
          <w:noProof/>
        </w:rPr>
      </w:pPr>
      <w:r w:rsidRPr="00D816F4">
        <w:rPr>
          <w:noProof/>
        </w:rPr>
        <w:t>[5] European Environment Agency - Time for a change of focus in the transport sector- (europa.eu)</w:t>
      </w:r>
    </w:p>
    <w:p w14:paraId="73ED4A51" w14:textId="77777777" w:rsidR="00D816F4" w:rsidRPr="00D816F4" w:rsidRDefault="00D816F4" w:rsidP="00B37AE3">
      <w:pPr>
        <w:ind w:left="567" w:hanging="567"/>
        <w:jc w:val="both"/>
        <w:rPr>
          <w:noProof/>
        </w:rPr>
      </w:pPr>
      <w:r w:rsidRPr="00D816F4">
        <w:rPr>
          <w:noProof/>
        </w:rPr>
        <w:t>[6] REGULATION (EU) 2021/1119 REGULATION (EU) 2021/1119 OF THE EUROPEAN PARLIAMENT AND OF THE COUNCIL (of June 30, 2021) - setting up the framework for achieving climate neutrality and amending Regulations (EC) No 401/2009 and (EU) 2018/1999 ('European Climate Act') - L_2021243RO.01000101.xml (europa.eu)</w:t>
      </w:r>
    </w:p>
    <w:p w14:paraId="7148FF55" w14:textId="77777777" w:rsidR="00D816F4" w:rsidRPr="00D816F4" w:rsidRDefault="00D816F4" w:rsidP="00B37AE3">
      <w:pPr>
        <w:ind w:left="567" w:hanging="567"/>
        <w:jc w:val="both"/>
        <w:rPr>
          <w:noProof/>
        </w:rPr>
      </w:pPr>
      <w:r w:rsidRPr="00D816F4">
        <w:rPr>
          <w:noProof/>
        </w:rPr>
        <w:t>[7] European Environment Agency - Emissions of air pollutants from transport in Europe Emissions of air pollutants from transport in Europe | European Environment Agency's home page (europa.eu) https://www.eea.europa.eu/en/analysis/indicators/emissions-of-air-pollutants-from.</w:t>
      </w:r>
    </w:p>
    <w:p w14:paraId="18784E1A" w14:textId="77777777" w:rsidR="00D816F4" w:rsidRPr="00D816F4" w:rsidRDefault="00D816F4" w:rsidP="00B37AE3">
      <w:pPr>
        <w:ind w:left="567" w:hanging="567"/>
        <w:jc w:val="both"/>
        <w:rPr>
          <w:noProof/>
        </w:rPr>
      </w:pPr>
      <w:r w:rsidRPr="00D816F4">
        <w:rPr>
          <w:noProof/>
        </w:rPr>
        <w:t xml:space="preserve">[8] Ana Carolina Rodrigues Teixeira, Raquel Rocha Borges, Pedro Gerber Machado, Dominique Mouette, Flavia Noronha Dutra Ribeiro, PM emissions from heavy-duty trucks and their impacts on human health, Atmospheric Environment, Volume 241,2020, 117814, ISSN 1352-2310, https://doi.org/10.1016/j.atmosenv.2020.117814. </w:t>
      </w:r>
    </w:p>
    <w:p w14:paraId="5A58F66A" w14:textId="77777777" w:rsidR="00D816F4" w:rsidRPr="00D816F4" w:rsidRDefault="00D816F4" w:rsidP="00B37AE3">
      <w:pPr>
        <w:ind w:left="567" w:hanging="567"/>
        <w:jc w:val="both"/>
        <w:rPr>
          <w:noProof/>
        </w:rPr>
      </w:pPr>
      <w:r w:rsidRPr="00D816F4">
        <w:rPr>
          <w:noProof/>
        </w:rPr>
        <w:t>[9] Li, C., Managi, S. Contribution of on-road transportation to PM2.5. Sci Rep 11, 21320 (2021). https://doi.org/10.1038/s41598-021-00862-x.</w:t>
      </w:r>
    </w:p>
    <w:p w14:paraId="21F2187A" w14:textId="77777777" w:rsidR="00D816F4" w:rsidRPr="00D816F4" w:rsidRDefault="00D816F4" w:rsidP="00B37AE3">
      <w:pPr>
        <w:ind w:left="567" w:hanging="567"/>
        <w:jc w:val="both"/>
        <w:rPr>
          <w:noProof/>
        </w:rPr>
      </w:pPr>
      <w:r w:rsidRPr="00D816F4">
        <w:rPr>
          <w:noProof/>
        </w:rPr>
        <w:t>[10] National Air Quality Monitoring Network - Air Quality | PM</w:t>
      </w:r>
      <w:r w:rsidRPr="00D816F4">
        <w:rPr>
          <w:noProof/>
          <w:vertAlign w:val="subscript"/>
        </w:rPr>
        <w:t>10</w:t>
      </w:r>
      <w:r w:rsidRPr="00D816F4">
        <w:rPr>
          <w:noProof/>
        </w:rPr>
        <w:t xml:space="preserve"> and PM</w:t>
      </w:r>
      <w:r w:rsidRPr="00D816F4">
        <w:rPr>
          <w:noProof/>
          <w:vertAlign w:val="subscript"/>
        </w:rPr>
        <w:t>2.5</w:t>
      </w:r>
      <w:r w:rsidRPr="00D816F4">
        <w:rPr>
          <w:noProof/>
        </w:rPr>
        <w:t xml:space="preserve"> particulate matter</w:t>
      </w:r>
    </w:p>
    <w:p w14:paraId="5FA1BD3C" w14:textId="77777777" w:rsidR="00D816F4" w:rsidRPr="00D816F4" w:rsidRDefault="00D816F4" w:rsidP="00B37AE3">
      <w:pPr>
        <w:ind w:left="567" w:hanging="567"/>
        <w:jc w:val="both"/>
        <w:rPr>
          <w:noProof/>
        </w:rPr>
      </w:pPr>
      <w:r w:rsidRPr="00D816F4">
        <w:rPr>
          <w:noProof/>
        </w:rPr>
        <w:lastRenderedPageBreak/>
        <w:t xml:space="preserve">[11] Modeling tourism impacts on air pollution: The case study of PM10 in Mallorca, Tourism Management, Volume 40, February 2014, Pages 273-281. </w:t>
      </w:r>
    </w:p>
    <w:p w14:paraId="5AE59A7C" w14:textId="77777777" w:rsidR="00D816F4" w:rsidRPr="00D816F4" w:rsidRDefault="00D816F4" w:rsidP="00B37AE3">
      <w:pPr>
        <w:ind w:left="567" w:hanging="567"/>
        <w:jc w:val="both"/>
        <w:rPr>
          <w:noProof/>
        </w:rPr>
      </w:pPr>
      <w:r w:rsidRPr="00D816F4">
        <w:rPr>
          <w:noProof/>
        </w:rPr>
        <w:t>[12] M. Maibach, C. Schreyer, D. Sutter, H.P. van Essen, B.H. Boon, R. Smokers, et al.Handbook on estimation of external costs in the transport sector, European Commission (2008).</w:t>
      </w:r>
    </w:p>
    <w:p w14:paraId="35647245" w14:textId="77777777" w:rsidR="00D816F4" w:rsidRPr="00D816F4" w:rsidRDefault="00D816F4" w:rsidP="00B37AE3">
      <w:pPr>
        <w:ind w:left="567" w:hanging="567"/>
        <w:jc w:val="both"/>
        <w:rPr>
          <w:noProof/>
        </w:rPr>
      </w:pPr>
      <w:r w:rsidRPr="00D816F4">
        <w:rPr>
          <w:noProof/>
        </w:rPr>
        <w:t>[13] Accorinti, J., Allende, D. &amp; Puliafito, S.E. The impact on air quality of PM10 emissions from the bus fleet of Buenos Aires City. SN Appl. Sci. 5, 6 (2023). https://doi.org/10.1007/s42452-022-05231-5.</w:t>
      </w:r>
    </w:p>
    <w:p w14:paraId="69809822" w14:textId="77777777" w:rsidR="00D816F4" w:rsidRPr="00D816F4" w:rsidRDefault="00D816F4" w:rsidP="00B37AE3">
      <w:pPr>
        <w:ind w:left="567" w:hanging="567"/>
        <w:jc w:val="both"/>
        <w:rPr>
          <w:noProof/>
        </w:rPr>
      </w:pPr>
      <w:r w:rsidRPr="00D816F4">
        <w:rPr>
          <w:noProof/>
        </w:rPr>
        <w:t>[14] B. Brunekreef, S.T. Holgate Air pollution and health The Lancet, 360 (2002), pp. 1233-1242.</w:t>
      </w:r>
    </w:p>
    <w:p w14:paraId="05592CBE" w14:textId="77777777" w:rsidR="00D816F4" w:rsidRPr="00D816F4" w:rsidRDefault="00D816F4" w:rsidP="00B37AE3">
      <w:pPr>
        <w:ind w:left="567" w:hanging="567"/>
        <w:jc w:val="both"/>
        <w:rPr>
          <w:noProof/>
        </w:rPr>
      </w:pPr>
      <w:r w:rsidRPr="00D816F4">
        <w:rPr>
          <w:noProof/>
        </w:rPr>
        <w:t xml:space="preserve">[15] A.A. Yusuf, B.P. Resosundarmo Does clean air matter in developing countries' megacities? A hedonic price analysis of the Jakarta housing market, Indonesia Ecological Economics, 68 (5) (2009), pp. 1398-1407. </w:t>
      </w:r>
    </w:p>
    <w:p w14:paraId="49162713" w14:textId="77777777" w:rsidR="00D816F4" w:rsidRPr="00D816F4" w:rsidRDefault="00D816F4" w:rsidP="00B37AE3">
      <w:pPr>
        <w:ind w:left="567" w:hanging="567"/>
        <w:jc w:val="both"/>
        <w:rPr>
          <w:noProof/>
        </w:rPr>
      </w:pPr>
      <w:r w:rsidRPr="00D816F4">
        <w:rPr>
          <w:noProof/>
        </w:rPr>
        <w:t>[16] T. Menz, Do people become habituated to air pollution? Evidence from international life satisfaction data, Ecological Economics, 71 (2011), pp. 211-219.</w:t>
      </w:r>
    </w:p>
    <w:p w14:paraId="71E5EAA0" w14:textId="77777777" w:rsidR="00D816F4" w:rsidRPr="00D816F4" w:rsidRDefault="00D816F4" w:rsidP="00B37AE3">
      <w:pPr>
        <w:ind w:left="567" w:hanging="567"/>
        <w:jc w:val="both"/>
        <w:rPr>
          <w:noProof/>
        </w:rPr>
      </w:pPr>
      <w:r w:rsidRPr="00D816F4">
        <w:rPr>
          <w:noProof/>
        </w:rPr>
        <w:t>[17] Marinello, S.; Lolli, F.; Coruzzolo, A.M.; Gamberini, R. Exposure to Air Pollution in Transport Microenvironments. Sustainability 2023, 15, 11958. https://doi.org/10.3390/su151511958.</w:t>
      </w:r>
    </w:p>
    <w:p w14:paraId="1C66FD74" w14:textId="77777777" w:rsidR="00D816F4" w:rsidRPr="00D816F4" w:rsidRDefault="00D816F4" w:rsidP="00B37AE3">
      <w:pPr>
        <w:ind w:left="567" w:hanging="567"/>
        <w:jc w:val="both"/>
        <w:rPr>
          <w:noProof/>
        </w:rPr>
      </w:pPr>
      <w:r w:rsidRPr="00D816F4">
        <w:rPr>
          <w:noProof/>
        </w:rPr>
        <w:t>[18] Fabrizio Pini, Giuseppe Piras, Davide Astiaso Garcia, Paolo Di Girolamo, Impact of the different vehicle fleets on PM10 pollution: Comparison between the ten most populous Italian metropolitan cities for the year 2018, Science of The Total Environment, Volume 773, 2021, 145524, ISSN 0048-9697, https://doi.org/10.1016/j.scitotenv.2021.145524.</w:t>
      </w:r>
    </w:p>
    <w:p w14:paraId="36161266" w14:textId="77777777" w:rsidR="00D816F4" w:rsidRPr="00D816F4" w:rsidRDefault="00D816F4" w:rsidP="00B37AE3">
      <w:pPr>
        <w:ind w:left="567" w:hanging="567"/>
        <w:jc w:val="both"/>
        <w:rPr>
          <w:noProof/>
        </w:rPr>
      </w:pPr>
      <w:r w:rsidRPr="00D816F4">
        <w:rPr>
          <w:noProof/>
        </w:rPr>
        <w:t>[19] Her, J.; Park, S.; Lee, J.S. The Effects of Bus Ridership on Airborne Particulate Matter (PM10) Concentrations. Sustainability 2016, 8, 636. https://doi.org/10.3390/su8070636.</w:t>
      </w:r>
    </w:p>
    <w:p w14:paraId="07CCA2EF" w14:textId="77777777" w:rsidR="00D816F4" w:rsidRPr="00D816F4" w:rsidRDefault="00D816F4" w:rsidP="00B37AE3">
      <w:pPr>
        <w:ind w:left="567" w:hanging="567"/>
        <w:jc w:val="both"/>
        <w:rPr>
          <w:noProof/>
        </w:rPr>
      </w:pPr>
      <w:r w:rsidRPr="00D816F4">
        <w:rPr>
          <w:noProof/>
        </w:rPr>
        <w:t>[20] A. Suleiman, M.R. Tight, A.D. Quinn, Assessment and prediction of the impact of road transport on ambient concentrations of particulate matter PM</w:t>
      </w:r>
      <w:r w:rsidRPr="00D816F4">
        <w:rPr>
          <w:noProof/>
          <w:vertAlign w:val="subscript"/>
        </w:rPr>
        <w:t>10</w:t>
      </w:r>
      <w:r w:rsidRPr="00D816F4">
        <w:rPr>
          <w:noProof/>
        </w:rPr>
        <w:t>, Transportation Research Part D: Transport and Environment, Volume 49, 2016, Pages 301-312, ISSN 1361-9209, https://doi.org/10.1016/j.trd.2016.10.010.</w:t>
      </w:r>
    </w:p>
    <w:p w14:paraId="50935010" w14:textId="77777777" w:rsidR="00D816F4" w:rsidRPr="00D816F4" w:rsidRDefault="00D816F4" w:rsidP="00B37AE3">
      <w:pPr>
        <w:ind w:left="567" w:hanging="567"/>
        <w:jc w:val="both"/>
        <w:rPr>
          <w:noProof/>
        </w:rPr>
      </w:pPr>
      <w:r w:rsidRPr="00D816F4">
        <w:rPr>
          <w:noProof/>
        </w:rPr>
        <w:t>[21] Janusz Sielski, Karol Kaziród-Wolski, Małgorzata Anna Jóźwiak, Marek Jóźwiak, The influence of air pollution by PM2.5, PM10 and associated heavy metals on the parameters of out-of-hospital cardiac arrest, Science of The Total Environment, Volume 788, 2021, 147541, ISSN 0048-9697, https://doi.org/10.1016/j.scitotenv.2021.147541.</w:t>
      </w:r>
    </w:p>
    <w:p w14:paraId="3E735A38" w14:textId="77777777" w:rsidR="00D816F4" w:rsidRPr="00D816F4" w:rsidRDefault="00D816F4" w:rsidP="00B37AE3">
      <w:pPr>
        <w:ind w:left="567" w:hanging="567"/>
        <w:jc w:val="both"/>
        <w:rPr>
          <w:noProof/>
        </w:rPr>
      </w:pPr>
      <w:r w:rsidRPr="00D816F4">
        <w:rPr>
          <w:noProof/>
        </w:rPr>
        <w:t>[22] The human health risk assessment of particulate air pollution (PM2.5 and PM10) in Romania, Toxicology, Reports9  556-562, 2022.</w:t>
      </w:r>
    </w:p>
    <w:p w14:paraId="6A58D91A" w14:textId="77777777" w:rsidR="00D816F4" w:rsidRPr="00D816F4" w:rsidRDefault="00D816F4" w:rsidP="00B37AE3">
      <w:pPr>
        <w:ind w:left="567" w:hanging="567"/>
        <w:jc w:val="both"/>
        <w:rPr>
          <w:noProof/>
        </w:rPr>
      </w:pPr>
      <w:r w:rsidRPr="00D816F4">
        <w:rPr>
          <w:noProof/>
        </w:rPr>
        <w:t>[23] D. Dunea, S. Iordache, C. Radulescu, A. Pohoata, I.D. Dulama, A multidimensional approach to the influence of wind on the variations of particulate matter and associated heavy metals in Ploiesti city, Romania, Rom. J. Phys. 61 (2016) 1354–1368.</w:t>
      </w:r>
    </w:p>
    <w:p w14:paraId="6D8DB493" w14:textId="77777777" w:rsidR="00D816F4" w:rsidRPr="00D816F4" w:rsidRDefault="00D816F4" w:rsidP="00B37AE3">
      <w:pPr>
        <w:ind w:left="567" w:hanging="567"/>
        <w:jc w:val="both"/>
        <w:rPr>
          <w:noProof/>
        </w:rPr>
      </w:pPr>
      <w:r w:rsidRPr="00D816F4">
        <w:rPr>
          <w:noProof/>
        </w:rPr>
        <w:t>[24] L. Sfîca, I. Iordache, P. Ichim, A. Leahu, M.-M. Cazacu, S. Gurlui, C.-R. Trif, The influence of Weather conditions and local climate on particulate matter (PM10) concentration in metropolitan area of Iasi, Romania. Present Environ, Sustain. Dev (2018) 12, https://doi.org/10.2478/pesd-2018-0029.</w:t>
      </w:r>
    </w:p>
    <w:p w14:paraId="70556E73" w14:textId="77777777" w:rsidR="00D816F4" w:rsidRPr="00D816F4" w:rsidRDefault="00D816F4" w:rsidP="00B37AE3">
      <w:pPr>
        <w:ind w:left="567" w:hanging="567"/>
        <w:jc w:val="both"/>
        <w:rPr>
          <w:noProof/>
        </w:rPr>
      </w:pPr>
      <w:r w:rsidRPr="00D816F4">
        <w:rPr>
          <w:noProof/>
        </w:rPr>
        <w:t>[25] Sustainable urban mobility plan 2016-2030 Bucharest - Ilfov region, published December 2015.</w:t>
      </w:r>
    </w:p>
    <w:p w14:paraId="187B2625" w14:textId="77777777" w:rsidR="00D816F4" w:rsidRPr="00D816F4" w:rsidRDefault="00D816F4" w:rsidP="00B37AE3">
      <w:pPr>
        <w:ind w:left="567" w:hanging="567"/>
        <w:jc w:val="both"/>
        <w:rPr>
          <w:noProof/>
        </w:rPr>
      </w:pPr>
      <w:r w:rsidRPr="00D816F4">
        <w:rPr>
          <w:noProof/>
        </w:rPr>
        <w:t>[26] STB – S.A. General statistics as of 2023 https://www.stb.ro/statistici</w:t>
      </w:r>
    </w:p>
    <w:p w14:paraId="4773105D" w14:textId="77777777" w:rsidR="00D816F4" w:rsidRPr="00D816F4" w:rsidRDefault="00D816F4" w:rsidP="00B37AE3">
      <w:pPr>
        <w:ind w:left="567" w:hanging="567"/>
        <w:jc w:val="both"/>
        <w:rPr>
          <w:noProof/>
        </w:rPr>
      </w:pPr>
      <w:r w:rsidRPr="00D816F4">
        <w:rPr>
          <w:noProof/>
        </w:rPr>
        <w:t>[27] Assessment of air pollution origin based on year-long parallel measurement of PM2.5 and PM10 at two suburban sites in Prague, Czech Republic.</w:t>
      </w:r>
    </w:p>
    <w:p w14:paraId="24479F19" w14:textId="77777777" w:rsidR="00D816F4" w:rsidRPr="00D816F4" w:rsidRDefault="00D816F4" w:rsidP="00B37AE3">
      <w:pPr>
        <w:ind w:left="567" w:hanging="567"/>
        <w:jc w:val="both"/>
        <w:rPr>
          <w:noProof/>
        </w:rPr>
      </w:pPr>
      <w:r w:rsidRPr="00D816F4">
        <w:rPr>
          <w:noProof/>
        </w:rPr>
        <w:t>[28] Assessment of air pollution origin based on year-long parallel measurement of PM2.5 and PM10 at two suburban sites in Prague, Czech Republic.</w:t>
      </w:r>
    </w:p>
    <w:p w14:paraId="6AAF375B" w14:textId="77777777" w:rsidR="00D816F4" w:rsidRPr="00D816F4" w:rsidRDefault="00D816F4" w:rsidP="00B37AE3">
      <w:pPr>
        <w:ind w:left="567" w:hanging="567"/>
        <w:jc w:val="both"/>
        <w:rPr>
          <w:noProof/>
        </w:rPr>
      </w:pPr>
      <w:r w:rsidRPr="00D816F4">
        <w:rPr>
          <w:noProof/>
        </w:rPr>
        <w:t>[29] Cesari, D., Donateo, A., Conte, M., Merico, E., Giangreco, A., Giangreco, F., Contini, D., 2016. An inter-comparison of PM2.5 at urban and urban background sites: chemical characterization and source apportionment. Atmos. Res. 174–175, 106–119.</w:t>
      </w:r>
    </w:p>
    <w:p w14:paraId="363600E8" w14:textId="38F2410D" w:rsidR="00440C48" w:rsidRPr="00D816F4" w:rsidRDefault="00D816F4" w:rsidP="00B37AE3">
      <w:pPr>
        <w:ind w:left="567" w:hanging="567"/>
        <w:jc w:val="both"/>
      </w:pPr>
      <w:r w:rsidRPr="00D816F4">
        <w:rPr>
          <w:noProof/>
        </w:rPr>
        <w:t>[30] LAW no. 104 of June 15, 2011 - on environmental air quality-LEGE 104 15/06/2011 - Portal Legislativ (just.ro).</w:t>
      </w:r>
      <w:r w:rsidR="00B37AE3">
        <w:rPr>
          <w:noProof/>
        </w:rPr>
        <w:t xml:space="preserve"> </w:t>
      </w:r>
      <w:r w:rsidRPr="00D816F4">
        <w:rPr>
          <w:noProof/>
        </w:rPr>
        <w:fldChar w:fldCharType="begin"/>
      </w:r>
      <w:r w:rsidRPr="00D816F4">
        <w:rPr>
          <w:noProof/>
        </w:rPr>
        <w:instrText xml:space="preserve"> ADDIN EN.REFLIST </w:instrText>
      </w:r>
      <w:r w:rsidRPr="00D816F4">
        <w:rPr>
          <w:noProof/>
        </w:rPr>
        <w:fldChar w:fldCharType="separate"/>
      </w:r>
      <w:r w:rsidRPr="00D816F4">
        <w:rPr>
          <w:noProof/>
        </w:rPr>
        <w:fldChar w:fldCharType="end"/>
      </w:r>
    </w:p>
    <w:sectPr w:rsidR="00440C48" w:rsidRPr="00D816F4" w:rsidSect="000F4DD8">
      <w:headerReference w:type="even" r:id="rId15"/>
      <w:headerReference w:type="default" r:id="rId16"/>
      <w:headerReference w:type="first" r:id="rId17"/>
      <w:pgSz w:w="11907" w:h="16840" w:code="9"/>
      <w:pgMar w:top="2665" w:right="1985" w:bottom="2665" w:left="1985" w:header="1701" w:footer="1701" w:gutter="0"/>
      <w:pgNumType w:start="22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53D70" w14:textId="77777777" w:rsidR="003A2A99" w:rsidRDefault="003A2A99">
      <w:r>
        <w:separator/>
      </w:r>
    </w:p>
  </w:endnote>
  <w:endnote w:type="continuationSeparator" w:id="0">
    <w:p w14:paraId="57EE9E14" w14:textId="77777777" w:rsidR="003A2A99" w:rsidRDefault="003A2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4467E" w14:textId="77777777" w:rsidR="003A2A99" w:rsidRDefault="003A2A99">
      <w:r>
        <w:separator/>
      </w:r>
    </w:p>
  </w:footnote>
  <w:footnote w:type="continuationSeparator" w:id="0">
    <w:p w14:paraId="3DE66311" w14:textId="77777777" w:rsidR="003A2A99" w:rsidRDefault="003A2A99">
      <w:r>
        <w:continuationSeparator/>
      </w:r>
    </w:p>
  </w:footnote>
  <w:footnote w:id="1">
    <w:p w14:paraId="4FC13064" w14:textId="6E720411" w:rsidR="00B37AE3" w:rsidRPr="00B37AE3" w:rsidRDefault="00B37AE3" w:rsidP="00773B58">
      <w:pPr>
        <w:pStyle w:val="FootnoteText"/>
        <w:ind w:left="142" w:hanging="142"/>
        <w:jc w:val="both"/>
      </w:pPr>
      <w:r>
        <w:rPr>
          <w:rStyle w:val="FootnoteReference"/>
        </w:rPr>
        <w:footnoteRef/>
      </w:r>
      <w:r>
        <w:t xml:space="preserve"> </w:t>
      </w:r>
      <w:r w:rsidRPr="00B37AE3">
        <w:t xml:space="preserve">PhD student, Faculty of Biotechnical Systems Engineering, </w:t>
      </w:r>
      <w:r w:rsidR="00773B58">
        <w:t xml:space="preserve">The National </w:t>
      </w:r>
      <w:r w:rsidRPr="00B37AE3">
        <w:t xml:space="preserve">University </w:t>
      </w:r>
      <w:r w:rsidR="00773B58">
        <w:t xml:space="preserve">of Science and Technology </w:t>
      </w:r>
      <w:r w:rsidRPr="00B37AE3">
        <w:t>POLITEHNICA Bucharest, Romania, e-mail: alexandra.hodoroaba@yahoo.com</w:t>
      </w:r>
    </w:p>
  </w:footnote>
  <w:footnote w:id="2">
    <w:p w14:paraId="4FE2E265" w14:textId="1D72CCE4" w:rsidR="00773B58" w:rsidRDefault="00773B58" w:rsidP="00773B58">
      <w:pPr>
        <w:pStyle w:val="FootnoteText"/>
        <w:ind w:left="142" w:hanging="142"/>
      </w:pPr>
      <w:r>
        <w:rPr>
          <w:rStyle w:val="FootnoteReference"/>
        </w:rPr>
        <w:footnoteRef/>
      </w:r>
      <w:r>
        <w:t xml:space="preserve"> </w:t>
      </w:r>
      <w:r w:rsidRPr="00B37AE3">
        <w:t xml:space="preserve">PhD student, Faculty of Biotechnical Systems Engineering, </w:t>
      </w:r>
      <w:r>
        <w:t xml:space="preserve">The National </w:t>
      </w:r>
      <w:r w:rsidRPr="00B37AE3">
        <w:t xml:space="preserve">University </w:t>
      </w:r>
      <w:r>
        <w:t xml:space="preserve">of Science and Technology </w:t>
      </w:r>
      <w:r w:rsidRPr="00B37AE3">
        <w:t>POLITEHNICA Bucharest, Romania</w:t>
      </w:r>
      <w:r>
        <w:t xml:space="preserve">, e-mail: </w:t>
      </w:r>
      <w:hyperlink r:id="rId1" w:history="1">
        <w:r w:rsidRPr="00B37AE3">
          <w:rPr>
            <w:rStyle w:val="Hyperlink"/>
            <w:color w:val="auto"/>
            <w:u w:val="none"/>
          </w:rPr>
          <w:t>ancaflorentinapopescu@gmail.com</w:t>
        </w:r>
      </w:hyperlink>
    </w:p>
  </w:footnote>
  <w:footnote w:id="3">
    <w:p w14:paraId="561283EB" w14:textId="3E4BB8DB" w:rsidR="00773B58" w:rsidRDefault="00773B58" w:rsidP="00773B58">
      <w:pPr>
        <w:pStyle w:val="FootnoteText"/>
        <w:ind w:left="142" w:hanging="142"/>
        <w:jc w:val="both"/>
      </w:pPr>
      <w:r>
        <w:rPr>
          <w:rStyle w:val="FootnoteReference"/>
        </w:rPr>
        <w:footnoteRef/>
      </w:r>
      <w:r>
        <w:t xml:space="preserve"> PhD student, </w:t>
      </w:r>
      <w:r w:rsidRPr="00B37AE3">
        <w:t xml:space="preserve">Faculty of Material Science and Engineering, </w:t>
      </w:r>
      <w:r>
        <w:t xml:space="preserve">The National </w:t>
      </w:r>
      <w:r w:rsidRPr="00B37AE3">
        <w:t xml:space="preserve">University </w:t>
      </w:r>
      <w:r>
        <w:t xml:space="preserve">of Science and Technology </w:t>
      </w:r>
      <w:r w:rsidRPr="00B37AE3">
        <w:t>POLITEHNICA Bucharest, Romania,</w:t>
      </w:r>
      <w:r>
        <w:t xml:space="preserve"> </w:t>
      </w:r>
      <w:r w:rsidRPr="00B37AE3">
        <w:t>e-mail</w:t>
      </w:r>
      <w:r>
        <w:t xml:space="preserve">: </w:t>
      </w:r>
      <w:hyperlink r:id="rId2" w:history="1">
        <w:r w:rsidRPr="00B37AE3">
          <w:rPr>
            <w:rStyle w:val="Hyperlink"/>
            <w:color w:val="auto"/>
            <w:u w:val="none"/>
          </w:rPr>
          <w:t>alexandruioan.balint@gmail.com</w:t>
        </w:r>
      </w:hyperlink>
    </w:p>
  </w:footnote>
  <w:footnote w:id="4">
    <w:p w14:paraId="6B136F2A" w14:textId="77777777" w:rsidR="00773B58" w:rsidRDefault="00773B58" w:rsidP="00773B58">
      <w:pPr>
        <w:pStyle w:val="FootnoteText"/>
        <w:ind w:left="142" w:hanging="142"/>
        <w:jc w:val="both"/>
      </w:pPr>
      <w:r w:rsidRPr="00B37AE3">
        <w:rPr>
          <w:rStyle w:val="FootnoteReference"/>
        </w:rPr>
        <w:footnoteRef/>
      </w:r>
      <w:r w:rsidRPr="00B37AE3">
        <w:t xml:space="preserve"> Prof., Faculty of Material Science and Engineering, </w:t>
      </w:r>
      <w:r>
        <w:t xml:space="preserve">The National </w:t>
      </w:r>
      <w:r w:rsidRPr="00B37AE3">
        <w:t xml:space="preserve">University </w:t>
      </w:r>
      <w:r>
        <w:t xml:space="preserve">of Science and Technology </w:t>
      </w:r>
      <w:r w:rsidRPr="00B37AE3">
        <w:t xml:space="preserve">POLITEHNICA Bucharest, Romania, e-mail: </w:t>
      </w:r>
      <w:hyperlink r:id="rId3" w:history="1">
        <w:r w:rsidRPr="00B37AE3">
          <w:t>ecaterina.matei@upb.ro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DB422" w14:textId="079E16D7" w:rsidR="003F0338" w:rsidRDefault="003F0338" w:rsidP="003F0338">
    <w:pPr>
      <w:pStyle w:val="Header"/>
      <w:pBdr>
        <w:bottom w:val="single" w:sz="4" w:space="1" w:color="auto"/>
      </w:pBdr>
    </w:pPr>
    <w:r>
      <w:fldChar w:fldCharType="begin"/>
    </w:r>
    <w:r>
      <w:instrText xml:space="preserve"> PAGE   \* MERGEFORMAT </w:instrText>
    </w:r>
    <w:r>
      <w:fldChar w:fldCharType="separate"/>
    </w:r>
    <w:r>
      <w:rPr>
        <w:noProof/>
      </w:rPr>
      <w:t>2</w:t>
    </w:r>
    <w:r>
      <w:rPr>
        <w:noProof/>
      </w:rPr>
      <w:fldChar w:fldCharType="end"/>
    </w:r>
    <w:r>
      <w:rPr>
        <w:noProof/>
      </w:rPr>
      <w:t xml:space="preserve"> </w:t>
    </w:r>
    <w:r w:rsidR="0014293D">
      <w:rPr>
        <w:noProof/>
      </w:rPr>
      <w:t xml:space="preserve"> </w:t>
    </w:r>
    <w:r>
      <w:rPr>
        <w:noProof/>
      </w:rPr>
      <w:t xml:space="preserve"> </w:t>
    </w:r>
    <w:r w:rsidR="000F4DD8">
      <w:rPr>
        <w:noProof/>
      </w:rPr>
      <w:t xml:space="preserve"> </w:t>
    </w:r>
    <w:r w:rsidR="000F4DD8" w:rsidRPr="000F4DD8">
      <w:rPr>
        <w:noProof/>
      </w:rPr>
      <w:t>Alexandra Bădiceanu,</w:t>
    </w:r>
    <w:r w:rsidR="000F4DD8">
      <w:rPr>
        <w:noProof/>
      </w:rPr>
      <w:t xml:space="preserve"> </w:t>
    </w:r>
    <w:r w:rsidR="000F4DD8" w:rsidRPr="000F4DD8">
      <w:rPr>
        <w:noProof/>
      </w:rPr>
      <w:t>Anca-Florentina Popescu, Alexandru-Ioan Balint, Ecaterina Matei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D7E5A" w14:textId="039BB61E" w:rsidR="003F0338" w:rsidRPr="00C1450A" w:rsidRDefault="00693153" w:rsidP="003F0338">
    <w:pPr>
      <w:pStyle w:val="Header"/>
      <w:pBdr>
        <w:bottom w:val="single" w:sz="4" w:space="1" w:color="auto"/>
      </w:pBdr>
      <w:jc w:val="right"/>
      <w:rPr>
        <w:sz w:val="19"/>
        <w:szCs w:val="19"/>
      </w:rPr>
    </w:pPr>
    <w:r w:rsidRPr="00693153">
      <w:rPr>
        <w:sz w:val="19"/>
        <w:szCs w:val="19"/>
      </w:rPr>
      <w:t>Impact of PM</w:t>
    </w:r>
    <w:r w:rsidRPr="00693153">
      <w:rPr>
        <w:sz w:val="19"/>
        <w:szCs w:val="19"/>
        <w:vertAlign w:val="subscript"/>
      </w:rPr>
      <w:t>10</w:t>
    </w:r>
    <w:r w:rsidRPr="00693153">
      <w:rPr>
        <w:sz w:val="19"/>
        <w:szCs w:val="19"/>
      </w:rPr>
      <w:t xml:space="preserve"> emissions from transport sector on air quality in the Bucharest-Ilfov area</w:t>
    </w:r>
    <w:r w:rsidR="0094248E" w:rsidRPr="00C1450A">
      <w:rPr>
        <w:sz w:val="19"/>
        <w:szCs w:val="19"/>
      </w:rPr>
      <w:t xml:space="preserve"> </w:t>
    </w:r>
    <w:r w:rsidR="009D2DF4">
      <w:rPr>
        <w:sz w:val="19"/>
        <w:szCs w:val="19"/>
      </w:rPr>
      <w:t xml:space="preserve"> </w:t>
    </w:r>
    <w:r>
      <w:rPr>
        <w:sz w:val="19"/>
        <w:szCs w:val="19"/>
      </w:rPr>
      <w:t xml:space="preserve">     </w:t>
    </w:r>
    <w:r w:rsidR="003F0338" w:rsidRPr="00C1450A">
      <w:rPr>
        <w:sz w:val="19"/>
        <w:szCs w:val="19"/>
      </w:rPr>
      <w:fldChar w:fldCharType="begin"/>
    </w:r>
    <w:r w:rsidR="003F0338" w:rsidRPr="00C1450A">
      <w:rPr>
        <w:sz w:val="19"/>
        <w:szCs w:val="19"/>
      </w:rPr>
      <w:instrText xml:space="preserve"> PAGE   \* MERGEFORMAT </w:instrText>
    </w:r>
    <w:r w:rsidR="003F0338" w:rsidRPr="00C1450A">
      <w:rPr>
        <w:sz w:val="19"/>
        <w:szCs w:val="19"/>
      </w:rPr>
      <w:fldChar w:fldCharType="separate"/>
    </w:r>
    <w:r w:rsidR="003F0338" w:rsidRPr="00C1450A">
      <w:rPr>
        <w:noProof/>
        <w:sz w:val="19"/>
        <w:szCs w:val="19"/>
      </w:rPr>
      <w:t>2</w:t>
    </w:r>
    <w:r w:rsidR="003F0338" w:rsidRPr="00C1450A">
      <w:rPr>
        <w:noProof/>
        <w:sz w:val="19"/>
        <w:szCs w:val="19"/>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7D30A" w14:textId="61564F8A" w:rsidR="00ED0A53" w:rsidRDefault="00ED0A53">
    <w:pPr>
      <w:pStyle w:val="Header"/>
      <w:pBdr>
        <w:bottom w:val="single" w:sz="4" w:space="1" w:color="auto"/>
      </w:pBdr>
    </w:pPr>
    <w:r>
      <w:t xml:space="preserve">U.P.B. Sci. Bull., Series </w:t>
    </w:r>
    <w:r w:rsidR="0023419B">
      <w:t>B</w:t>
    </w:r>
    <w:r>
      <w:t xml:space="preserve">, Vol. </w:t>
    </w:r>
    <w:r w:rsidR="0023419B">
      <w:t>8</w:t>
    </w:r>
    <w:r w:rsidR="00474974">
      <w:t>7</w:t>
    </w:r>
    <w:r>
      <w:t xml:space="preserve">, </w:t>
    </w:r>
    <w:proofErr w:type="spellStart"/>
    <w:r w:rsidR="007D46CA">
      <w:t>Iss</w:t>
    </w:r>
    <w:proofErr w:type="spellEnd"/>
    <w:r>
      <w:t xml:space="preserve">. </w:t>
    </w:r>
    <w:r w:rsidR="00474974">
      <w:t>1</w:t>
    </w:r>
    <w:r>
      <w:t>, 20</w:t>
    </w:r>
    <w:r w:rsidR="0023419B">
      <w:t>2</w:t>
    </w:r>
    <w:r w:rsidR="00474974">
      <w:t>5</w:t>
    </w:r>
    <w:r w:rsidR="004A46FF">
      <w:t xml:space="preserve">     </w:t>
    </w:r>
    <w:r w:rsidR="0023419B">
      <w:t xml:space="preserve">  </w:t>
    </w:r>
    <w:r w:rsidR="004A46FF">
      <w:t xml:space="preserve">                   </w:t>
    </w:r>
    <w:r w:rsidR="00C27D74">
      <w:t xml:space="preserve">                </w:t>
    </w:r>
    <w:r w:rsidR="0023419B">
      <w:t xml:space="preserve">  </w:t>
    </w:r>
    <w:r w:rsidR="00C27D74">
      <w:t xml:space="preserve">         ISSN </w:t>
    </w:r>
    <w:r w:rsidR="0023419B">
      <w:t>1454</w:t>
    </w:r>
    <w:r w:rsidR="004A46FF">
      <w:t>-</w:t>
    </w:r>
    <w:r w:rsidR="0023419B">
      <w:t>2331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E3F51"/>
    <w:multiLevelType w:val="hybridMultilevel"/>
    <w:tmpl w:val="B4DA819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4C46B2"/>
    <w:multiLevelType w:val="multilevel"/>
    <w:tmpl w:val="20FCED7C"/>
    <w:lvl w:ilvl="0">
      <w:start w:val="1"/>
      <w:numFmt w:val="decimal"/>
      <w:lvlText w:val="%1."/>
      <w:lvlJc w:val="left"/>
      <w:pPr>
        <w:ind w:left="1080" w:hanging="360"/>
      </w:pPr>
      <w:rPr>
        <w:rFonts w:hint="default"/>
        <w:color w:val="auto"/>
      </w:rPr>
    </w:lvl>
    <w:lvl w:ilvl="1">
      <w:start w:val="1"/>
      <w:numFmt w:val="decimal"/>
      <w:isLgl/>
      <w:lvlText w:val="%1.%2."/>
      <w:lvlJc w:val="left"/>
      <w:pPr>
        <w:ind w:left="928"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856502808">
    <w:abstractNumId w:val="1"/>
  </w:num>
  <w:num w:numId="2" w16cid:durableId="202500868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6FF"/>
    <w:rsid w:val="00002C01"/>
    <w:rsid w:val="00061811"/>
    <w:rsid w:val="00064E2B"/>
    <w:rsid w:val="00083789"/>
    <w:rsid w:val="00086C15"/>
    <w:rsid w:val="000958E3"/>
    <w:rsid w:val="000B686A"/>
    <w:rsid w:val="000C1A3E"/>
    <w:rsid w:val="000D080A"/>
    <w:rsid w:val="000D3A91"/>
    <w:rsid w:val="000E03D2"/>
    <w:rsid w:val="000E0F0F"/>
    <w:rsid w:val="000F4DD8"/>
    <w:rsid w:val="00126042"/>
    <w:rsid w:val="0014293D"/>
    <w:rsid w:val="00146765"/>
    <w:rsid w:val="001649E9"/>
    <w:rsid w:val="00175AD5"/>
    <w:rsid w:val="00181516"/>
    <w:rsid w:val="0018296D"/>
    <w:rsid w:val="001931F5"/>
    <w:rsid w:val="0023419B"/>
    <w:rsid w:val="00236A83"/>
    <w:rsid w:val="00240588"/>
    <w:rsid w:val="0024759C"/>
    <w:rsid w:val="00264A9E"/>
    <w:rsid w:val="00266FA0"/>
    <w:rsid w:val="0028202C"/>
    <w:rsid w:val="002870A4"/>
    <w:rsid w:val="002F0960"/>
    <w:rsid w:val="002F4BEC"/>
    <w:rsid w:val="002F740A"/>
    <w:rsid w:val="0030486B"/>
    <w:rsid w:val="00310D27"/>
    <w:rsid w:val="00324203"/>
    <w:rsid w:val="00337AFE"/>
    <w:rsid w:val="00344C5F"/>
    <w:rsid w:val="00351BEA"/>
    <w:rsid w:val="0037001D"/>
    <w:rsid w:val="003773C4"/>
    <w:rsid w:val="003A2A99"/>
    <w:rsid w:val="003A35E1"/>
    <w:rsid w:val="003B06AE"/>
    <w:rsid w:val="003C5B30"/>
    <w:rsid w:val="003D181A"/>
    <w:rsid w:val="003D6DE3"/>
    <w:rsid w:val="003E4071"/>
    <w:rsid w:val="003F0338"/>
    <w:rsid w:val="003F37FA"/>
    <w:rsid w:val="003F3FB8"/>
    <w:rsid w:val="003F6FC6"/>
    <w:rsid w:val="00411B9A"/>
    <w:rsid w:val="00430822"/>
    <w:rsid w:val="00440C48"/>
    <w:rsid w:val="00451DF5"/>
    <w:rsid w:val="004658E8"/>
    <w:rsid w:val="00474974"/>
    <w:rsid w:val="004810FF"/>
    <w:rsid w:val="004A39D9"/>
    <w:rsid w:val="004A46FF"/>
    <w:rsid w:val="004C1D84"/>
    <w:rsid w:val="004D4615"/>
    <w:rsid w:val="004E3860"/>
    <w:rsid w:val="0051239A"/>
    <w:rsid w:val="00522347"/>
    <w:rsid w:val="00535107"/>
    <w:rsid w:val="00536F1A"/>
    <w:rsid w:val="00543779"/>
    <w:rsid w:val="00547716"/>
    <w:rsid w:val="00553917"/>
    <w:rsid w:val="00561B46"/>
    <w:rsid w:val="005756F6"/>
    <w:rsid w:val="00594552"/>
    <w:rsid w:val="005A2FE6"/>
    <w:rsid w:val="005B2194"/>
    <w:rsid w:val="005D7827"/>
    <w:rsid w:val="005E04AE"/>
    <w:rsid w:val="005F0B79"/>
    <w:rsid w:val="005F17ED"/>
    <w:rsid w:val="005F3527"/>
    <w:rsid w:val="005F73EE"/>
    <w:rsid w:val="00600BAF"/>
    <w:rsid w:val="00643755"/>
    <w:rsid w:val="00661DB8"/>
    <w:rsid w:val="00663CC9"/>
    <w:rsid w:val="00693153"/>
    <w:rsid w:val="006A2977"/>
    <w:rsid w:val="006B21E1"/>
    <w:rsid w:val="006B26A9"/>
    <w:rsid w:val="006B5111"/>
    <w:rsid w:val="006C52A5"/>
    <w:rsid w:val="006E67B8"/>
    <w:rsid w:val="006F28E0"/>
    <w:rsid w:val="006F5C0A"/>
    <w:rsid w:val="0072683E"/>
    <w:rsid w:val="007421BC"/>
    <w:rsid w:val="00755B06"/>
    <w:rsid w:val="00760C00"/>
    <w:rsid w:val="00762EB7"/>
    <w:rsid w:val="00770F8F"/>
    <w:rsid w:val="0077334F"/>
    <w:rsid w:val="00773B58"/>
    <w:rsid w:val="0077680E"/>
    <w:rsid w:val="007863FF"/>
    <w:rsid w:val="007C21F7"/>
    <w:rsid w:val="007D46CA"/>
    <w:rsid w:val="007E7682"/>
    <w:rsid w:val="007F396A"/>
    <w:rsid w:val="00805159"/>
    <w:rsid w:val="008059C6"/>
    <w:rsid w:val="0081734D"/>
    <w:rsid w:val="0085034D"/>
    <w:rsid w:val="00881F71"/>
    <w:rsid w:val="00882BA8"/>
    <w:rsid w:val="008944D4"/>
    <w:rsid w:val="008D4E47"/>
    <w:rsid w:val="00910436"/>
    <w:rsid w:val="00932B4F"/>
    <w:rsid w:val="00937CE8"/>
    <w:rsid w:val="00941AE6"/>
    <w:rsid w:val="0094248E"/>
    <w:rsid w:val="00964182"/>
    <w:rsid w:val="009651F4"/>
    <w:rsid w:val="0096607E"/>
    <w:rsid w:val="0096753D"/>
    <w:rsid w:val="00983838"/>
    <w:rsid w:val="0099566F"/>
    <w:rsid w:val="009C007B"/>
    <w:rsid w:val="009D2DF4"/>
    <w:rsid w:val="009D7E6B"/>
    <w:rsid w:val="00A03944"/>
    <w:rsid w:val="00A10673"/>
    <w:rsid w:val="00A358CE"/>
    <w:rsid w:val="00A72ECD"/>
    <w:rsid w:val="00AA6C3E"/>
    <w:rsid w:val="00AB465C"/>
    <w:rsid w:val="00AC0074"/>
    <w:rsid w:val="00AC08AB"/>
    <w:rsid w:val="00B27F0C"/>
    <w:rsid w:val="00B34F98"/>
    <w:rsid w:val="00B362B0"/>
    <w:rsid w:val="00B37AE3"/>
    <w:rsid w:val="00B522DB"/>
    <w:rsid w:val="00B65681"/>
    <w:rsid w:val="00BA4EC3"/>
    <w:rsid w:val="00BC1F9C"/>
    <w:rsid w:val="00BC4981"/>
    <w:rsid w:val="00BD3BBB"/>
    <w:rsid w:val="00C0094A"/>
    <w:rsid w:val="00C05400"/>
    <w:rsid w:val="00C1450A"/>
    <w:rsid w:val="00C2177F"/>
    <w:rsid w:val="00C21A32"/>
    <w:rsid w:val="00C23ED8"/>
    <w:rsid w:val="00C27D74"/>
    <w:rsid w:val="00C65117"/>
    <w:rsid w:val="00C67839"/>
    <w:rsid w:val="00C72C65"/>
    <w:rsid w:val="00C85E08"/>
    <w:rsid w:val="00CC313D"/>
    <w:rsid w:val="00CD0BEF"/>
    <w:rsid w:val="00CD4A1C"/>
    <w:rsid w:val="00CE547A"/>
    <w:rsid w:val="00CF7877"/>
    <w:rsid w:val="00D1311E"/>
    <w:rsid w:val="00D27012"/>
    <w:rsid w:val="00D2731E"/>
    <w:rsid w:val="00D428CA"/>
    <w:rsid w:val="00D44AEE"/>
    <w:rsid w:val="00D72612"/>
    <w:rsid w:val="00D73B2C"/>
    <w:rsid w:val="00D816F4"/>
    <w:rsid w:val="00D843C4"/>
    <w:rsid w:val="00D91B2A"/>
    <w:rsid w:val="00DA7061"/>
    <w:rsid w:val="00DB110F"/>
    <w:rsid w:val="00DB2FAF"/>
    <w:rsid w:val="00DC22E8"/>
    <w:rsid w:val="00DE2F4C"/>
    <w:rsid w:val="00DF13FE"/>
    <w:rsid w:val="00E05FBE"/>
    <w:rsid w:val="00E104B9"/>
    <w:rsid w:val="00E2406B"/>
    <w:rsid w:val="00E32453"/>
    <w:rsid w:val="00E364F3"/>
    <w:rsid w:val="00E41724"/>
    <w:rsid w:val="00E73B2D"/>
    <w:rsid w:val="00E83731"/>
    <w:rsid w:val="00EB1F51"/>
    <w:rsid w:val="00EC4D84"/>
    <w:rsid w:val="00ED0A53"/>
    <w:rsid w:val="00F2381E"/>
    <w:rsid w:val="00F862EE"/>
    <w:rsid w:val="00F96F9E"/>
    <w:rsid w:val="00FC30CD"/>
    <w:rsid w:val="00FC6ED8"/>
    <w:rsid w:val="00FF3836"/>
    <w:rsid w:val="00FF4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DDB27F"/>
  <w15:chartTrackingRefBased/>
  <w15:docId w15:val="{3C358EE5-D4C2-4944-B077-AD497CF09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page number"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both"/>
      <w:outlineLvl w:val="0"/>
    </w:pPr>
    <w:rPr>
      <w:b/>
      <w:sz w:val="24"/>
      <w:lang w:val="fr-FR"/>
    </w:rPr>
  </w:style>
  <w:style w:type="paragraph" w:styleId="Heading2">
    <w:name w:val="heading 2"/>
    <w:basedOn w:val="Normal"/>
    <w:next w:val="Normal"/>
    <w:qFormat/>
    <w:pPr>
      <w:keepNext/>
      <w:jc w:val="both"/>
      <w:outlineLvl w:val="1"/>
    </w:p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ind w:firstLine="720"/>
      <w:jc w:val="both"/>
      <w:outlineLvl w:val="3"/>
    </w:pPr>
  </w:style>
  <w:style w:type="paragraph" w:styleId="Heading5">
    <w:name w:val="heading 5"/>
    <w:basedOn w:val="Normal"/>
    <w:next w:val="Normal"/>
    <w:qFormat/>
    <w:pPr>
      <w:keepNext/>
      <w:jc w:val="right"/>
      <w:outlineLvl w:val="4"/>
    </w:pPr>
    <w:rPr>
      <w:i/>
      <w:sz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bstractR">
    <w:name w:val="B_abstractR"/>
    <w:basedOn w:val="Basetext"/>
    <w:pPr>
      <w:spacing w:after="240"/>
      <w:ind w:left="567" w:right="567" w:firstLine="567"/>
    </w:pPr>
    <w:rPr>
      <w:i/>
      <w:sz w:val="20"/>
    </w:rPr>
  </w:style>
  <w:style w:type="paragraph" w:customStyle="1" w:styleId="Basetext">
    <w:name w:val="Base_text"/>
    <w:basedOn w:val="Normal"/>
    <w:pPr>
      <w:ind w:firstLine="720"/>
      <w:jc w:val="both"/>
    </w:pPr>
    <w:rPr>
      <w:sz w:val="24"/>
    </w:rPr>
  </w:style>
  <w:style w:type="paragraph" w:customStyle="1" w:styleId="Btitle">
    <w:name w:val="B_title"/>
    <w:basedOn w:val="Basetext"/>
    <w:pPr>
      <w:spacing w:before="240" w:after="480"/>
      <w:ind w:firstLine="0"/>
      <w:jc w:val="center"/>
    </w:pPr>
    <w:rPr>
      <w:b/>
      <w:caps/>
      <w:sz w:val="28"/>
    </w:rPr>
  </w:style>
  <w:style w:type="paragraph" w:customStyle="1" w:styleId="Bname">
    <w:name w:val="B_name"/>
    <w:basedOn w:val="Basetext"/>
    <w:pPr>
      <w:spacing w:after="480"/>
      <w:ind w:firstLine="0"/>
      <w:jc w:val="center"/>
    </w:pPr>
    <w:rPr>
      <w:caps/>
    </w:rPr>
  </w:style>
  <w:style w:type="paragraph" w:customStyle="1" w:styleId="Babstract">
    <w:name w:val="B_abstract"/>
    <w:basedOn w:val="Basetext"/>
    <w:pPr>
      <w:ind w:left="567" w:right="567" w:firstLine="0"/>
      <w:jc w:val="center"/>
    </w:pPr>
    <w:rPr>
      <w:i/>
      <w:sz w:val="20"/>
    </w:rPr>
  </w:style>
  <w:style w:type="paragraph" w:customStyle="1" w:styleId="BKW">
    <w:name w:val="B_KW"/>
    <w:basedOn w:val="Basetext"/>
    <w:pPr>
      <w:ind w:firstLine="0"/>
      <w:jc w:val="left"/>
    </w:pPr>
  </w:style>
  <w:style w:type="paragraph" w:styleId="FootnoteText">
    <w:name w:val="footnote text"/>
    <w:basedOn w:val="Normal"/>
    <w:link w:val="FootnoteTextChar"/>
    <w:semiHidden/>
  </w:style>
  <w:style w:type="paragraph" w:customStyle="1" w:styleId="BREFRS">
    <w:name w:val="B_REFRS"/>
    <w:basedOn w:val="Basetext"/>
    <w:pPr>
      <w:keepNext/>
      <w:spacing w:before="240" w:after="240"/>
      <w:ind w:firstLine="0"/>
      <w:jc w:val="center"/>
    </w:pPr>
    <w:rPr>
      <w:b/>
      <w:caps/>
    </w:rPr>
  </w:style>
  <w:style w:type="paragraph" w:customStyle="1" w:styleId="Brefs">
    <w:name w:val="B_refs"/>
    <w:basedOn w:val="Basetext"/>
    <w:pPr>
      <w:ind w:firstLine="0"/>
      <w:jc w:val="left"/>
    </w:pPr>
    <w:rPr>
      <w:sz w:val="20"/>
    </w:rPr>
  </w:style>
  <w:style w:type="paragraph" w:customStyle="1" w:styleId="Bfooter">
    <w:name w:val="B_footer"/>
    <w:basedOn w:val="Basetext"/>
    <w:pPr>
      <w:ind w:firstLine="0"/>
      <w:jc w:val="left"/>
    </w:pPr>
    <w:rPr>
      <w:sz w:val="20"/>
    </w:rPr>
  </w:style>
  <w:style w:type="paragraph" w:customStyle="1" w:styleId="Becu">
    <w:name w:val="B_ecu"/>
    <w:basedOn w:val="Basetext"/>
    <w:pPr>
      <w:tabs>
        <w:tab w:val="left" w:pos="1418"/>
        <w:tab w:val="right" w:pos="7938"/>
      </w:tabs>
      <w:ind w:firstLine="0"/>
    </w:pPr>
  </w:style>
  <w:style w:type="paragraph" w:customStyle="1" w:styleId="Btextfig">
    <w:name w:val="B_textfig"/>
    <w:basedOn w:val="Basetext"/>
    <w:pPr>
      <w:ind w:firstLine="0"/>
    </w:pPr>
    <w:rPr>
      <w:sz w:val="20"/>
    </w:rPr>
  </w:style>
  <w:style w:type="paragraph" w:customStyle="1" w:styleId="Btexttabel">
    <w:name w:val="B_texttabel"/>
    <w:basedOn w:val="Basetext"/>
    <w:rPr>
      <w:sz w:val="20"/>
    </w:rPr>
  </w:style>
  <w:style w:type="paragraph" w:customStyle="1" w:styleId="Btitlutabel">
    <w:name w:val="B_titlutabel"/>
    <w:basedOn w:val="Basetext"/>
    <w:pPr>
      <w:ind w:firstLine="0"/>
    </w:pPr>
    <w:rPr>
      <w:b/>
      <w:sz w:val="20"/>
    </w:rPr>
  </w:style>
  <w:style w:type="paragraph" w:customStyle="1" w:styleId="Bnumetabel">
    <w:name w:val="B_numetabel"/>
    <w:basedOn w:val="Basetext"/>
    <w:pPr>
      <w:ind w:firstLine="0"/>
      <w:jc w:val="right"/>
    </w:pPr>
    <w:rPr>
      <w:i/>
      <w:sz w:val="20"/>
    </w:rPr>
  </w:style>
  <w:style w:type="paragraph" w:customStyle="1" w:styleId="BabstractE">
    <w:name w:val="B_abstractE"/>
    <w:basedOn w:val="BabstractR"/>
  </w:style>
  <w:style w:type="paragraph" w:customStyle="1" w:styleId="Btitlconcl">
    <w:name w:val="B_titl.concl"/>
    <w:basedOn w:val="Btitlintrod"/>
  </w:style>
  <w:style w:type="paragraph" w:customStyle="1" w:styleId="Btitlintrod">
    <w:name w:val="B_titl.introd"/>
    <w:basedOn w:val="Normal"/>
    <w:pPr>
      <w:spacing w:before="240" w:after="240"/>
      <w:jc w:val="center"/>
    </w:pPr>
    <w:rPr>
      <w:b/>
      <w:sz w:val="24"/>
    </w:rPr>
  </w:style>
  <w:style w:type="paragraph" w:customStyle="1" w:styleId="Style1">
    <w:name w:val="Style1"/>
    <w:basedOn w:val="Normal"/>
    <w:pPr>
      <w:spacing w:before="240" w:after="240"/>
      <w:jc w:val="center"/>
    </w:pPr>
    <w:rPr>
      <w:b/>
    </w:rPr>
  </w:style>
  <w:style w:type="paragraph" w:customStyle="1" w:styleId="Btitlsectint">
    <w:name w:val="B_titl.sect.int"/>
    <w:basedOn w:val="Normal"/>
    <w:pPr>
      <w:spacing w:before="240" w:after="240"/>
    </w:pPr>
    <w:rPr>
      <w:b/>
      <w:sz w:val="24"/>
    </w:rPr>
  </w:style>
  <w:style w:type="character" w:styleId="FootnoteReference">
    <w:name w:val="footnote reference"/>
    <w:semiHidden/>
    <w:rPr>
      <w:vertAlign w:val="superscript"/>
    </w:rPr>
  </w:style>
  <w:style w:type="paragraph" w:styleId="BodyText2">
    <w:name w:val="Body Text 2"/>
    <w:basedOn w:val="Normal"/>
    <w:pPr>
      <w:jc w:val="center"/>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
    <w:name w:val="Body Text"/>
    <w:basedOn w:val="Normal"/>
    <w:pPr>
      <w:jc w:val="center"/>
    </w:pPr>
    <w:rPr>
      <w:b/>
      <w:sz w:val="28"/>
    </w:rPr>
  </w:style>
  <w:style w:type="paragraph" w:styleId="BodyTextIndent3">
    <w:name w:val="Body Text Indent 3"/>
    <w:basedOn w:val="Normal"/>
    <w:pPr>
      <w:ind w:firstLine="720"/>
      <w:jc w:val="both"/>
    </w:pPr>
    <w:rPr>
      <w:rFonts w:ascii="Arial" w:hAnsi="Arial"/>
      <w:lang w:val="en-GB"/>
    </w:rPr>
  </w:style>
  <w:style w:type="paragraph" w:styleId="BodyTextIndent">
    <w:name w:val="Body Text Indent"/>
    <w:basedOn w:val="Normal"/>
    <w:pPr>
      <w:ind w:firstLine="720"/>
      <w:jc w:val="both"/>
    </w:pPr>
    <w:rPr>
      <w:sz w:val="24"/>
      <w:lang w:val="fr-FR"/>
    </w:rPr>
  </w:style>
  <w:style w:type="paragraph" w:styleId="BodyTextIndent2">
    <w:name w:val="Body Text Indent 2"/>
    <w:basedOn w:val="Normal"/>
    <w:pPr>
      <w:ind w:firstLine="720"/>
      <w:jc w:val="both"/>
    </w:pPr>
    <w:rPr>
      <w:rFonts w:ascii="Arial" w:hAnsi="Arial"/>
      <w:color w:val="FF0000"/>
      <w:lang w:val="en-GB"/>
    </w:rPr>
  </w:style>
  <w:style w:type="character" w:styleId="HTMLTypewriter">
    <w:name w:val="HTML Typewriter"/>
    <w:rPr>
      <w:rFonts w:ascii="Courier New" w:eastAsia="Arial Unicode MS" w:hAnsi="Courier New" w:cs="Arial Unicode MS" w:hint="default"/>
      <w:sz w:val="20"/>
      <w:szCs w:val="20"/>
    </w:rPr>
  </w:style>
  <w:style w:type="paragraph" w:customStyle="1" w:styleId="titlu">
    <w:name w:val="titlu"/>
    <w:basedOn w:val="Normal"/>
    <w:pPr>
      <w:jc w:val="center"/>
    </w:pPr>
    <w:rPr>
      <w:b/>
      <w:sz w:val="28"/>
      <w:lang w:val="en-GB"/>
    </w:rPr>
  </w:style>
  <w:style w:type="paragraph" w:customStyle="1" w:styleId="BTitleIntroduction">
    <w:name w:val="B_Title Introduction"/>
    <w:basedOn w:val="Normal"/>
    <w:pPr>
      <w:jc w:val="center"/>
    </w:pPr>
    <w:rPr>
      <w:b/>
      <w:sz w:val="24"/>
    </w:rPr>
  </w:style>
  <w:style w:type="paragraph" w:customStyle="1" w:styleId="Figure">
    <w:name w:val="Figure"/>
    <w:basedOn w:val="Copyright"/>
    <w:pPr>
      <w:jc w:val="left"/>
    </w:pPr>
    <w:rPr>
      <w:rFonts w:ascii="Helvetica" w:hAnsi="Helvetica"/>
    </w:rPr>
  </w:style>
  <w:style w:type="paragraph" w:customStyle="1" w:styleId="Copyright">
    <w:name w:val="Copyright"/>
    <w:basedOn w:val="Normal"/>
    <w:pPr>
      <w:spacing w:after="960" w:line="200" w:lineRule="exact"/>
      <w:jc w:val="both"/>
    </w:pPr>
    <w:rPr>
      <w:sz w:val="16"/>
    </w:rPr>
  </w:style>
  <w:style w:type="paragraph" w:customStyle="1" w:styleId="Btextfig0">
    <w:name w:val="B_textfig."/>
    <w:basedOn w:val="Normal"/>
    <w:pPr>
      <w:jc w:val="center"/>
    </w:pPr>
    <w:rPr>
      <w:color w:val="000000"/>
    </w:rPr>
  </w:style>
  <w:style w:type="paragraph" w:customStyle="1" w:styleId="Btitlutabel0">
    <w:name w:val="B_titlu tabel"/>
    <w:basedOn w:val="Normal"/>
    <w:pPr>
      <w:jc w:val="center"/>
    </w:pPr>
    <w:rPr>
      <w:b/>
    </w:rPr>
  </w:style>
  <w:style w:type="paragraph" w:customStyle="1" w:styleId="Equation">
    <w:name w:val="Equation"/>
    <w:basedOn w:val="Normal"/>
    <w:pPr>
      <w:tabs>
        <w:tab w:val="center" w:pos="3969"/>
        <w:tab w:val="right" w:pos="7938"/>
      </w:tabs>
      <w:spacing w:after="240"/>
      <w:jc w:val="both"/>
    </w:pPr>
    <w:rPr>
      <w:sz w:val="24"/>
    </w:rPr>
  </w:style>
  <w:style w:type="paragraph" w:customStyle="1" w:styleId="BtitlConclusions">
    <w:name w:val="B_titl. Conclusions"/>
    <w:basedOn w:val="Btitlsectint"/>
    <w:pPr>
      <w:spacing w:before="0" w:after="0"/>
      <w:jc w:val="center"/>
    </w:pPr>
  </w:style>
  <w:style w:type="paragraph" w:customStyle="1" w:styleId="BREFERENCES">
    <w:name w:val="B_REFERENCES"/>
    <w:basedOn w:val="Normal"/>
    <w:pPr>
      <w:jc w:val="center"/>
    </w:pPr>
    <w:rPr>
      <w:caps/>
      <w:spacing w:val="60"/>
      <w:sz w:val="24"/>
    </w:rPr>
  </w:style>
  <w:style w:type="paragraph" w:styleId="Title">
    <w:name w:val="Title"/>
    <w:basedOn w:val="Normal"/>
    <w:qFormat/>
    <w:pPr>
      <w:jc w:val="center"/>
    </w:pPr>
    <w:rPr>
      <w:b/>
      <w:sz w:val="28"/>
    </w:rPr>
  </w:style>
  <w:style w:type="paragraph" w:styleId="Subtitle">
    <w:name w:val="Subtitle"/>
    <w:basedOn w:val="Normal"/>
    <w:qFormat/>
    <w:pPr>
      <w:jc w:val="center"/>
    </w:pPr>
    <w:rPr>
      <w:sz w:val="28"/>
    </w:rPr>
  </w:style>
  <w:style w:type="paragraph" w:styleId="BlockText">
    <w:name w:val="Block Text"/>
    <w:basedOn w:val="Normal"/>
    <w:pPr>
      <w:ind w:left="-567" w:right="-567"/>
    </w:pPr>
    <w:rPr>
      <w:i/>
      <w:sz w:val="28"/>
    </w:rPr>
  </w:style>
  <w:style w:type="paragraph" w:styleId="ListParagraph">
    <w:name w:val="List Paragraph"/>
    <w:basedOn w:val="Normal"/>
    <w:uiPriority w:val="34"/>
    <w:qFormat/>
    <w:rsid w:val="00CE547A"/>
    <w:pPr>
      <w:spacing w:after="160" w:line="259" w:lineRule="auto"/>
      <w:ind w:left="720"/>
      <w:contextualSpacing/>
    </w:pPr>
    <w:rPr>
      <w:rFonts w:ascii="Aptos" w:eastAsia="Aptos" w:hAnsi="Aptos"/>
      <w:kern w:val="2"/>
      <w:sz w:val="22"/>
      <w:szCs w:val="22"/>
      <w:lang w:val="en-GB"/>
    </w:rPr>
  </w:style>
  <w:style w:type="character" w:styleId="Hyperlink">
    <w:name w:val="Hyperlink"/>
    <w:unhideWhenUsed/>
    <w:rsid w:val="00CE547A"/>
    <w:rPr>
      <w:color w:val="0000FF"/>
      <w:u w:val="single"/>
    </w:rPr>
  </w:style>
  <w:style w:type="paragraph" w:customStyle="1" w:styleId="04Email">
    <w:name w:val="04. Email"/>
    <w:basedOn w:val="Normal"/>
    <w:next w:val="Normal"/>
    <w:qFormat/>
    <w:rsid w:val="00DE2F4C"/>
    <w:rPr>
      <w:i/>
      <w:color w:val="2E2EB1"/>
      <w:sz w:val="18"/>
      <w:szCs w:val="22"/>
    </w:rPr>
  </w:style>
  <w:style w:type="character" w:customStyle="1" w:styleId="FootnoteTextChar">
    <w:name w:val="Footnote Text Char"/>
    <w:basedOn w:val="DefaultParagraphFont"/>
    <w:link w:val="FootnoteText"/>
    <w:uiPriority w:val="99"/>
    <w:rsid w:val="003A35E1"/>
  </w:style>
  <w:style w:type="character" w:customStyle="1" w:styleId="formcategoryitemtableinput">
    <w:name w:val="formcategoryitemtableinput"/>
    <w:basedOn w:val="DefaultParagraphFont"/>
    <w:rsid w:val="0024759C"/>
  </w:style>
  <w:style w:type="character" w:customStyle="1" w:styleId="HeaderChar">
    <w:name w:val="Header Char"/>
    <w:basedOn w:val="DefaultParagraphFont"/>
    <w:link w:val="Header"/>
    <w:uiPriority w:val="99"/>
    <w:rsid w:val="003F0338"/>
  </w:style>
  <w:style w:type="character" w:customStyle="1" w:styleId="FooterChar">
    <w:name w:val="Footer Char"/>
    <w:basedOn w:val="DefaultParagraphFont"/>
    <w:link w:val="Footer"/>
    <w:uiPriority w:val="99"/>
    <w:rsid w:val="003D181A"/>
  </w:style>
  <w:style w:type="paragraph" w:styleId="BalloonText">
    <w:name w:val="Balloon Text"/>
    <w:basedOn w:val="Normal"/>
    <w:link w:val="BalloonTextChar"/>
    <w:uiPriority w:val="99"/>
    <w:unhideWhenUsed/>
    <w:rsid w:val="003D181A"/>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3D181A"/>
    <w:rPr>
      <w:rFonts w:ascii="Lucida Grande" w:hAnsi="Lucida Grande" w:cs="Lucida Grande"/>
      <w:sz w:val="18"/>
      <w:szCs w:val="18"/>
    </w:rPr>
  </w:style>
  <w:style w:type="paragraph" w:styleId="Caption">
    <w:name w:val="caption"/>
    <w:basedOn w:val="Normal"/>
    <w:next w:val="Normal"/>
    <w:uiPriority w:val="35"/>
    <w:unhideWhenUsed/>
    <w:qFormat/>
    <w:rsid w:val="003D181A"/>
    <w:pPr>
      <w:spacing w:after="200"/>
    </w:pPr>
    <w:rPr>
      <w:rFonts w:ascii="Calibri" w:hAnsi="Calibri"/>
      <w:b/>
      <w:bCs/>
      <w:color w:val="4F81BD"/>
      <w:sz w:val="18"/>
      <w:szCs w:val="18"/>
    </w:rPr>
  </w:style>
  <w:style w:type="character" w:styleId="PageNumber">
    <w:name w:val="page number"/>
    <w:basedOn w:val="DefaultParagraphFont"/>
    <w:uiPriority w:val="99"/>
    <w:unhideWhenUsed/>
    <w:rsid w:val="003D181A"/>
  </w:style>
  <w:style w:type="table" w:styleId="TableGrid">
    <w:name w:val="Table Grid"/>
    <w:basedOn w:val="TableNormal"/>
    <w:rsid w:val="003D1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rsid w:val="003D181A"/>
    <w:rPr>
      <w:vertAlign w:val="superscript"/>
    </w:rPr>
  </w:style>
  <w:style w:type="character" w:styleId="LineNumber">
    <w:name w:val="line number"/>
    <w:basedOn w:val="DefaultParagraphFont"/>
    <w:rsid w:val="003D181A"/>
  </w:style>
  <w:style w:type="character" w:customStyle="1" w:styleId="rendering">
    <w:name w:val="rendering"/>
    <w:basedOn w:val="DefaultParagraphFont"/>
    <w:rsid w:val="00F96F9E"/>
  </w:style>
  <w:style w:type="paragraph" w:customStyle="1" w:styleId="ltop">
    <w:name w:val="l_top"/>
    <w:basedOn w:val="Normal"/>
    <w:rsid w:val="00F96F9E"/>
    <w:pPr>
      <w:spacing w:before="100" w:beforeAutospacing="1" w:after="100" w:afterAutospacing="1"/>
    </w:pPr>
    <w:rPr>
      <w:sz w:val="24"/>
      <w:szCs w:val="24"/>
    </w:rPr>
  </w:style>
  <w:style w:type="character" w:customStyle="1" w:styleId="value">
    <w:name w:val="value"/>
    <w:basedOn w:val="DefaultParagraphFont"/>
    <w:rsid w:val="00F96F9E"/>
  </w:style>
  <w:style w:type="paragraph" w:customStyle="1" w:styleId="leftelement">
    <w:name w:val="leftelement"/>
    <w:basedOn w:val="Normal"/>
    <w:rsid w:val="00F96F9E"/>
    <w:pPr>
      <w:spacing w:before="100" w:beforeAutospacing="1" w:after="100" w:afterAutospacing="1"/>
    </w:pPr>
    <w:rPr>
      <w:sz w:val="24"/>
      <w:szCs w:val="24"/>
    </w:rPr>
  </w:style>
  <w:style w:type="character" w:customStyle="1" w:styleId="refauthor">
    <w:name w:val="refauthor"/>
    <w:basedOn w:val="DefaultParagraphFont"/>
    <w:rsid w:val="00F96F9E"/>
  </w:style>
  <w:style w:type="character" w:styleId="Strong">
    <w:name w:val="Strong"/>
    <w:uiPriority w:val="22"/>
    <w:qFormat/>
    <w:rsid w:val="00F96F9E"/>
    <w:rPr>
      <w:b/>
      <w:bCs/>
    </w:rPr>
  </w:style>
  <w:style w:type="character" w:customStyle="1" w:styleId="hgkelc">
    <w:name w:val="hgkelc"/>
    <w:basedOn w:val="DefaultParagraphFont"/>
    <w:rsid w:val="00F96F9E"/>
  </w:style>
  <w:style w:type="table" w:customStyle="1" w:styleId="TableGrid1">
    <w:name w:val="Table Grid1"/>
    <w:next w:val="TableGrid"/>
    <w:uiPriority w:val="59"/>
    <w:rsid w:val="00440C48"/>
    <w:rPr>
      <w:lang w:val="ro-RO"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D816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540925">
      <w:bodyDiv w:val="1"/>
      <w:marLeft w:val="0"/>
      <w:marRight w:val="0"/>
      <w:marTop w:val="0"/>
      <w:marBottom w:val="0"/>
      <w:divBdr>
        <w:top w:val="none" w:sz="0" w:space="0" w:color="auto"/>
        <w:left w:val="none" w:sz="0" w:space="0" w:color="auto"/>
        <w:bottom w:val="none" w:sz="0" w:space="0" w:color="auto"/>
        <w:right w:val="none" w:sz="0" w:space="0" w:color="auto"/>
      </w:divBdr>
    </w:div>
    <w:div w:id="766539800">
      <w:bodyDiv w:val="1"/>
      <w:marLeft w:val="0"/>
      <w:marRight w:val="0"/>
      <w:marTop w:val="0"/>
      <w:marBottom w:val="0"/>
      <w:divBdr>
        <w:top w:val="none" w:sz="0" w:space="0" w:color="auto"/>
        <w:left w:val="none" w:sz="0" w:space="0" w:color="auto"/>
        <w:bottom w:val="none" w:sz="0" w:space="0" w:color="auto"/>
        <w:right w:val="none" w:sz="0" w:space="0" w:color="auto"/>
      </w:divBdr>
    </w:div>
    <w:div w:id="92865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_rels/footnotes.xml.rels><?xml version="1.0" encoding="UTF-8" standalone="yes"?>
<Relationships xmlns="http://schemas.openxmlformats.org/package/2006/relationships"><Relationship Id="rId3" Type="http://schemas.openxmlformats.org/officeDocument/2006/relationships/hyperlink" Target="mailto:ecaterina.matei@upb.ro" TargetMode="External"/><Relationship Id="rId2" Type="http://schemas.openxmlformats.org/officeDocument/2006/relationships/hyperlink" Target="mailto:alexandruioan.balint@gmail.com" TargetMode="External"/><Relationship Id="rId1" Type="http://schemas.openxmlformats.org/officeDocument/2006/relationships/hyperlink" Target="mailto:ancaflorentinapopescu@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oldovan\Sci_Bull.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oleObject" Target="file:///C:\Users\pc\Desktop\DOCTORAT\2.%20publicatie%201%20-%202023\septembrie%202024\RAPOARTE%20PM10%202019_2023_PRELUCRARE.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2.xml"/><Relationship Id="rId4" Type="http://schemas.openxmlformats.org/officeDocument/2006/relationships/oleObject" Target="file:///C:\Users\pc\Desktop\DOCTORAT\2.%20publicatie%201%20-%202023\septembrie%202024\RAPOARTE%20PM10%202019_2023_PRELUCRARE.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3.xml"/><Relationship Id="rId4" Type="http://schemas.openxmlformats.org/officeDocument/2006/relationships/oleObject" Target="file:///C:\Users\pc\Desktop\DOCTORAT\2.%20publicatie%201%20-%202023\septembrie%202024\RAPOARTE%20PM10%202019_2023_PRELUCRARE.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5" Type="http://schemas.openxmlformats.org/officeDocument/2006/relationships/chartUserShapes" Target="../drawings/drawing4.xml"/><Relationship Id="rId4" Type="http://schemas.openxmlformats.org/officeDocument/2006/relationships/oleObject" Target="file:///C:\Users\pc\Desktop\DOCTORAT\2.%20publicatie%201%20-%202023\septembrie%202024\RAPOARTE%20PM10%202019_2023_PRELUCRARE.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5" Type="http://schemas.openxmlformats.org/officeDocument/2006/relationships/chartUserShapes" Target="../drawings/drawing5.xml"/><Relationship Id="rId4" Type="http://schemas.openxmlformats.org/officeDocument/2006/relationships/oleObject" Target="file:///C:\Users\pc\Desktop\DOCTORAT\2.%20publicatie%201%20-%202023\septembrie%202024\RAPOARTE%20PM10%202019_2023_PRELUCRARE.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5" Type="http://schemas.openxmlformats.org/officeDocument/2006/relationships/chartUserShapes" Target="../drawings/drawing6.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o-RO" sz="1000"/>
              <a:t>T</a:t>
            </a:r>
            <a:r>
              <a:rPr lang="en-US" sz="1000"/>
              <a:t>he number of exceedaces of the lower assesment limit</a:t>
            </a:r>
            <a:r>
              <a:rPr lang="ro-RO" sz="1000" baseline="0"/>
              <a:t> - d</a:t>
            </a:r>
            <a:r>
              <a:rPr lang="en-US" sz="1000"/>
              <a:t>aily average  </a:t>
            </a:r>
          </a:p>
        </c:rich>
      </c:tx>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'CALCULE ȘI GRAFICE PE 5 ANI'!$B$5</c:f>
              <c:strCache>
                <c:ptCount val="1"/>
                <c:pt idx="0">
                  <c:v>2019</c:v>
                </c:pt>
              </c:strCache>
            </c:strRef>
          </c:tx>
          <c:spPr>
            <a:solidFill>
              <a:schemeClr val="accent1"/>
            </a:solidFill>
            <a:ln>
              <a:noFill/>
            </a:ln>
            <a:effectLst/>
          </c:spPr>
          <c:invertIfNegative val="0"/>
          <c:dLbls>
            <c:dLbl>
              <c:idx val="2"/>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D3E-4DC5-826D-DCD9A30EDF42}"/>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'CALCULE ȘI GRAFICE PE 5 ANI'!$C$4:$J$4</c:f>
              <c:strCache>
                <c:ptCount val="8"/>
                <c:pt idx="0">
                  <c:v>B1</c:v>
                </c:pt>
                <c:pt idx="1">
                  <c:v>B2</c:v>
                </c:pt>
                <c:pt idx="2">
                  <c:v>B3</c:v>
                </c:pt>
                <c:pt idx="3">
                  <c:v>B4</c:v>
                </c:pt>
                <c:pt idx="4">
                  <c:v>B5</c:v>
                </c:pt>
                <c:pt idx="5">
                  <c:v>B6</c:v>
                </c:pt>
                <c:pt idx="6">
                  <c:v>B7</c:v>
                </c:pt>
                <c:pt idx="7">
                  <c:v>B8</c:v>
                </c:pt>
              </c:strCache>
            </c:strRef>
          </c:cat>
          <c:val>
            <c:numRef>
              <c:f>'CALCULE ȘI GRAFICE PE 5 ANI'!$C$5:$J$5</c:f>
              <c:numCache>
                <c:formatCode>0</c:formatCode>
                <c:ptCount val="8"/>
                <c:pt idx="0">
                  <c:v>174</c:v>
                </c:pt>
                <c:pt idx="1">
                  <c:v>148</c:v>
                </c:pt>
                <c:pt idx="2">
                  <c:v>241</c:v>
                </c:pt>
                <c:pt idx="3">
                  <c:v>162</c:v>
                </c:pt>
                <c:pt idx="4">
                  <c:v>171</c:v>
                </c:pt>
                <c:pt idx="5">
                  <c:v>238</c:v>
                </c:pt>
                <c:pt idx="6">
                  <c:v>108</c:v>
                </c:pt>
                <c:pt idx="7">
                  <c:v>83</c:v>
                </c:pt>
              </c:numCache>
            </c:numRef>
          </c:val>
          <c:extLst>
            <c:ext xmlns:c16="http://schemas.microsoft.com/office/drawing/2014/chart" uri="{C3380CC4-5D6E-409C-BE32-E72D297353CC}">
              <c16:uniqueId val="{00000001-3D3E-4DC5-826D-DCD9A30EDF42}"/>
            </c:ext>
          </c:extLst>
        </c:ser>
        <c:ser>
          <c:idx val="1"/>
          <c:order val="1"/>
          <c:tx>
            <c:strRef>
              <c:f>'CALCULE ȘI GRAFICE PE 5 ANI'!$B$6</c:f>
              <c:strCache>
                <c:ptCount val="1"/>
                <c:pt idx="0">
                  <c:v>2020</c:v>
                </c:pt>
              </c:strCache>
            </c:strRef>
          </c:tx>
          <c:spPr>
            <a:solidFill>
              <a:schemeClr val="accent2"/>
            </a:solidFill>
            <a:ln>
              <a:noFill/>
            </a:ln>
            <a:effectLst/>
          </c:spPr>
          <c:invertIfNegative val="0"/>
          <c:cat>
            <c:strRef>
              <c:f>'CALCULE ȘI GRAFICE PE 5 ANI'!$C$4:$J$4</c:f>
              <c:strCache>
                <c:ptCount val="8"/>
                <c:pt idx="0">
                  <c:v>B1</c:v>
                </c:pt>
                <c:pt idx="1">
                  <c:v>B2</c:v>
                </c:pt>
                <c:pt idx="2">
                  <c:v>B3</c:v>
                </c:pt>
                <c:pt idx="3">
                  <c:v>B4</c:v>
                </c:pt>
                <c:pt idx="4">
                  <c:v>B5</c:v>
                </c:pt>
                <c:pt idx="5">
                  <c:v>B6</c:v>
                </c:pt>
                <c:pt idx="6">
                  <c:v>B7</c:v>
                </c:pt>
                <c:pt idx="7">
                  <c:v>B8</c:v>
                </c:pt>
              </c:strCache>
            </c:strRef>
          </c:cat>
          <c:val>
            <c:numRef>
              <c:f>'CALCULE ȘI GRAFICE PE 5 ANI'!$C$6:$J$6</c:f>
              <c:numCache>
                <c:formatCode>0</c:formatCode>
                <c:ptCount val="8"/>
                <c:pt idx="0">
                  <c:v>162</c:v>
                </c:pt>
                <c:pt idx="1">
                  <c:v>101</c:v>
                </c:pt>
                <c:pt idx="2">
                  <c:v>158</c:v>
                </c:pt>
                <c:pt idx="3">
                  <c:v>132</c:v>
                </c:pt>
                <c:pt idx="4">
                  <c:v>129</c:v>
                </c:pt>
                <c:pt idx="5">
                  <c:v>166</c:v>
                </c:pt>
                <c:pt idx="6">
                  <c:v>113</c:v>
                </c:pt>
                <c:pt idx="7">
                  <c:v>68</c:v>
                </c:pt>
              </c:numCache>
            </c:numRef>
          </c:val>
          <c:extLst>
            <c:ext xmlns:c16="http://schemas.microsoft.com/office/drawing/2014/chart" uri="{C3380CC4-5D6E-409C-BE32-E72D297353CC}">
              <c16:uniqueId val="{00000002-3D3E-4DC5-826D-DCD9A30EDF42}"/>
            </c:ext>
          </c:extLst>
        </c:ser>
        <c:ser>
          <c:idx val="2"/>
          <c:order val="2"/>
          <c:tx>
            <c:strRef>
              <c:f>'CALCULE ȘI GRAFICE PE 5 ANI'!$B$7</c:f>
              <c:strCache>
                <c:ptCount val="1"/>
                <c:pt idx="0">
                  <c:v>2021</c:v>
                </c:pt>
              </c:strCache>
            </c:strRef>
          </c:tx>
          <c:spPr>
            <a:solidFill>
              <a:schemeClr val="accent3"/>
            </a:solidFill>
            <a:ln>
              <a:noFill/>
            </a:ln>
            <a:effectLst/>
          </c:spPr>
          <c:invertIfNegative val="0"/>
          <c:cat>
            <c:strRef>
              <c:f>'CALCULE ȘI GRAFICE PE 5 ANI'!$C$4:$J$4</c:f>
              <c:strCache>
                <c:ptCount val="8"/>
                <c:pt idx="0">
                  <c:v>B1</c:v>
                </c:pt>
                <c:pt idx="1">
                  <c:v>B2</c:v>
                </c:pt>
                <c:pt idx="2">
                  <c:v>B3</c:v>
                </c:pt>
                <c:pt idx="3">
                  <c:v>B4</c:v>
                </c:pt>
                <c:pt idx="4">
                  <c:v>B5</c:v>
                </c:pt>
                <c:pt idx="5">
                  <c:v>B6</c:v>
                </c:pt>
                <c:pt idx="6">
                  <c:v>B7</c:v>
                </c:pt>
                <c:pt idx="7">
                  <c:v>B8</c:v>
                </c:pt>
              </c:strCache>
            </c:strRef>
          </c:cat>
          <c:val>
            <c:numRef>
              <c:f>'CALCULE ȘI GRAFICE PE 5 ANI'!$C$7:$J$7</c:f>
              <c:numCache>
                <c:formatCode>0</c:formatCode>
                <c:ptCount val="8"/>
                <c:pt idx="0">
                  <c:v>154</c:v>
                </c:pt>
                <c:pt idx="1">
                  <c:v>130</c:v>
                </c:pt>
                <c:pt idx="2">
                  <c:v>204</c:v>
                </c:pt>
                <c:pt idx="3">
                  <c:v>128</c:v>
                </c:pt>
                <c:pt idx="4">
                  <c:v>150</c:v>
                </c:pt>
                <c:pt idx="5">
                  <c:v>141</c:v>
                </c:pt>
                <c:pt idx="6">
                  <c:v>131</c:v>
                </c:pt>
                <c:pt idx="7">
                  <c:v>71</c:v>
                </c:pt>
              </c:numCache>
            </c:numRef>
          </c:val>
          <c:extLst>
            <c:ext xmlns:c16="http://schemas.microsoft.com/office/drawing/2014/chart" uri="{C3380CC4-5D6E-409C-BE32-E72D297353CC}">
              <c16:uniqueId val="{00000003-3D3E-4DC5-826D-DCD9A30EDF42}"/>
            </c:ext>
          </c:extLst>
        </c:ser>
        <c:ser>
          <c:idx val="3"/>
          <c:order val="3"/>
          <c:tx>
            <c:strRef>
              <c:f>'CALCULE ȘI GRAFICE PE 5 ANI'!$B$8</c:f>
              <c:strCache>
                <c:ptCount val="1"/>
                <c:pt idx="0">
                  <c:v>2022</c:v>
                </c:pt>
              </c:strCache>
            </c:strRef>
          </c:tx>
          <c:spPr>
            <a:solidFill>
              <a:schemeClr val="accent4"/>
            </a:solidFill>
            <a:ln>
              <a:noFill/>
            </a:ln>
            <a:effectLst/>
          </c:spPr>
          <c:invertIfNegative val="0"/>
          <c:dLbls>
            <c:dLbl>
              <c:idx val="7"/>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D3E-4DC5-826D-DCD9A30EDF42}"/>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'CALCULE ȘI GRAFICE PE 5 ANI'!$C$4:$J$4</c:f>
              <c:strCache>
                <c:ptCount val="8"/>
                <c:pt idx="0">
                  <c:v>B1</c:v>
                </c:pt>
                <c:pt idx="1">
                  <c:v>B2</c:v>
                </c:pt>
                <c:pt idx="2">
                  <c:v>B3</c:v>
                </c:pt>
                <c:pt idx="3">
                  <c:v>B4</c:v>
                </c:pt>
                <c:pt idx="4">
                  <c:v>B5</c:v>
                </c:pt>
                <c:pt idx="5">
                  <c:v>B6</c:v>
                </c:pt>
                <c:pt idx="6">
                  <c:v>B7</c:v>
                </c:pt>
                <c:pt idx="7">
                  <c:v>B8</c:v>
                </c:pt>
              </c:strCache>
            </c:strRef>
          </c:cat>
          <c:val>
            <c:numRef>
              <c:f>'CALCULE ȘI GRAFICE PE 5 ANI'!$C$8:$J$8</c:f>
              <c:numCache>
                <c:formatCode>0</c:formatCode>
                <c:ptCount val="8"/>
                <c:pt idx="0">
                  <c:v>127</c:v>
                </c:pt>
                <c:pt idx="1">
                  <c:v>115</c:v>
                </c:pt>
                <c:pt idx="2">
                  <c:v>180</c:v>
                </c:pt>
                <c:pt idx="3">
                  <c:v>138</c:v>
                </c:pt>
                <c:pt idx="4">
                  <c:v>109</c:v>
                </c:pt>
                <c:pt idx="5">
                  <c:v>160</c:v>
                </c:pt>
                <c:pt idx="6">
                  <c:v>136</c:v>
                </c:pt>
                <c:pt idx="7">
                  <c:v>49</c:v>
                </c:pt>
              </c:numCache>
            </c:numRef>
          </c:val>
          <c:extLst>
            <c:ext xmlns:c16="http://schemas.microsoft.com/office/drawing/2014/chart" uri="{C3380CC4-5D6E-409C-BE32-E72D297353CC}">
              <c16:uniqueId val="{00000005-3D3E-4DC5-826D-DCD9A30EDF42}"/>
            </c:ext>
          </c:extLst>
        </c:ser>
        <c:ser>
          <c:idx val="4"/>
          <c:order val="4"/>
          <c:tx>
            <c:strRef>
              <c:f>'CALCULE ȘI GRAFICE PE 5 ANI'!$B$9</c:f>
              <c:strCache>
                <c:ptCount val="1"/>
                <c:pt idx="0">
                  <c:v>2023
The maximum allowable number of exceedances</c:v>
                </c:pt>
              </c:strCache>
            </c:strRef>
          </c:tx>
          <c:spPr>
            <a:solidFill>
              <a:schemeClr val="accent5"/>
            </a:solidFill>
            <a:ln>
              <a:noFill/>
            </a:ln>
            <a:effectLst/>
          </c:spPr>
          <c:invertIfNegative val="0"/>
          <c:cat>
            <c:strRef>
              <c:f>'CALCULE ȘI GRAFICE PE 5 ANI'!$C$4:$J$4</c:f>
              <c:strCache>
                <c:ptCount val="8"/>
                <c:pt idx="0">
                  <c:v>B1</c:v>
                </c:pt>
                <c:pt idx="1">
                  <c:v>B2</c:v>
                </c:pt>
                <c:pt idx="2">
                  <c:v>B3</c:v>
                </c:pt>
                <c:pt idx="3">
                  <c:v>B4</c:v>
                </c:pt>
                <c:pt idx="4">
                  <c:v>B5</c:v>
                </c:pt>
                <c:pt idx="5">
                  <c:v>B6</c:v>
                </c:pt>
                <c:pt idx="6">
                  <c:v>B7</c:v>
                </c:pt>
                <c:pt idx="7">
                  <c:v>B8</c:v>
                </c:pt>
              </c:strCache>
            </c:strRef>
          </c:cat>
          <c:val>
            <c:numRef>
              <c:f>'CALCULE ȘI GRAFICE PE 5 ANI'!$C$9:$J$9</c:f>
              <c:numCache>
                <c:formatCode>0</c:formatCode>
                <c:ptCount val="8"/>
                <c:pt idx="0">
                  <c:v>108</c:v>
                </c:pt>
                <c:pt idx="1">
                  <c:v>101</c:v>
                </c:pt>
                <c:pt idx="2">
                  <c:v>181</c:v>
                </c:pt>
                <c:pt idx="3">
                  <c:v>124</c:v>
                </c:pt>
                <c:pt idx="4">
                  <c:v>149</c:v>
                </c:pt>
                <c:pt idx="6">
                  <c:v>120</c:v>
                </c:pt>
                <c:pt idx="7">
                  <c:v>74</c:v>
                </c:pt>
              </c:numCache>
            </c:numRef>
          </c:val>
          <c:extLst>
            <c:ext xmlns:c16="http://schemas.microsoft.com/office/drawing/2014/chart" uri="{C3380CC4-5D6E-409C-BE32-E72D297353CC}">
              <c16:uniqueId val="{00000006-3D3E-4DC5-826D-DCD9A30EDF42}"/>
            </c:ext>
          </c:extLst>
        </c:ser>
        <c:dLbls>
          <c:showLegendKey val="0"/>
          <c:showVal val="0"/>
          <c:showCatName val="0"/>
          <c:showSerName val="0"/>
          <c:showPercent val="0"/>
          <c:showBubbleSize val="0"/>
        </c:dLbls>
        <c:gapWidth val="219"/>
        <c:overlap val="-27"/>
        <c:axId val="594959040"/>
        <c:axId val="594959760"/>
      </c:barChart>
      <c:catAx>
        <c:axId val="594959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94959760"/>
        <c:crosses val="autoZero"/>
        <c:auto val="1"/>
        <c:lblAlgn val="ctr"/>
        <c:lblOffset val="100"/>
        <c:noMultiLvlLbl val="0"/>
      </c:catAx>
      <c:valAx>
        <c:axId val="594959760"/>
        <c:scaling>
          <c:orientation val="minMax"/>
          <c:max val="25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t>µg/m³  </a:t>
                </a:r>
              </a:p>
            </c:rich>
          </c:tx>
          <c:layout>
            <c:manualLayout>
              <c:xMode val="edge"/>
              <c:yMode val="edge"/>
              <c:x val="1.9352292484758164E-2"/>
              <c:y val="0.38159090040794497"/>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94959040"/>
        <c:crosses val="autoZero"/>
        <c:crossBetween val="between"/>
        <c:majorUnit val="3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a:solidFill>
                  <a:sysClr val="windowText" lastClr="000000"/>
                </a:solidFill>
                <a:latin typeface="Times New Roman" panose="02020603050405020304" pitchFamily="18" charset="0"/>
                <a:cs typeface="Times New Roman" panose="02020603050405020304" pitchFamily="18" charset="0"/>
              </a:rPr>
              <a:t>PM</a:t>
            </a:r>
            <a:r>
              <a:rPr lang="en-US" sz="1000" baseline="-25000">
                <a:solidFill>
                  <a:sysClr val="windowText" lastClr="000000"/>
                </a:solidFill>
                <a:latin typeface="Times New Roman" panose="02020603050405020304" pitchFamily="18" charset="0"/>
                <a:cs typeface="Times New Roman" panose="02020603050405020304" pitchFamily="18" charset="0"/>
              </a:rPr>
              <a:t>10</a:t>
            </a:r>
            <a:r>
              <a:rPr lang="ro-RO" sz="1000">
                <a:solidFill>
                  <a:sysClr val="windowText" lastClr="000000"/>
                </a:solidFill>
                <a:latin typeface="Times New Roman" panose="02020603050405020304" pitchFamily="18" charset="0"/>
                <a:cs typeface="Times New Roman" panose="02020603050405020304" pitchFamily="18" charset="0"/>
              </a:rPr>
              <a:t> </a:t>
            </a:r>
            <a:r>
              <a:rPr lang="en-US" sz="1000">
                <a:solidFill>
                  <a:sysClr val="windowText" lastClr="000000"/>
                </a:solidFill>
                <a:latin typeface="Times New Roman" panose="02020603050405020304" pitchFamily="18" charset="0"/>
                <a:cs typeface="Times New Roman" panose="02020603050405020304" pitchFamily="18" charset="0"/>
              </a:rPr>
              <a:t>-</a:t>
            </a:r>
            <a:r>
              <a:rPr lang="ro-RO" sz="1000">
                <a:solidFill>
                  <a:sysClr val="windowText" lastClr="000000"/>
                </a:solidFill>
                <a:latin typeface="Times New Roman" panose="02020603050405020304" pitchFamily="18" charset="0"/>
                <a:cs typeface="Times New Roman" panose="02020603050405020304" pitchFamily="18" charset="0"/>
              </a:rPr>
              <a:t> </a:t>
            </a:r>
            <a:r>
              <a:rPr lang="en-US" sz="1000">
                <a:solidFill>
                  <a:sysClr val="windowText" lastClr="000000"/>
                </a:solidFill>
                <a:latin typeface="Times New Roman" panose="02020603050405020304" pitchFamily="18" charset="0"/>
                <a:cs typeface="Times New Roman" panose="02020603050405020304" pitchFamily="18" charset="0"/>
              </a:rPr>
              <a:t>The lower assesement threshold</a:t>
            </a:r>
            <a:r>
              <a:rPr lang="ro-RO" sz="1000">
                <a:solidFill>
                  <a:sysClr val="windowText" lastClr="000000"/>
                </a:solidFill>
                <a:latin typeface="Times New Roman" panose="02020603050405020304" pitchFamily="18" charset="0"/>
                <a:cs typeface="Times New Roman" panose="02020603050405020304" pitchFamily="18" charset="0"/>
              </a:rPr>
              <a:t> </a:t>
            </a:r>
            <a:r>
              <a:rPr lang="en-US" sz="1000">
                <a:solidFill>
                  <a:sysClr val="windowText" lastClr="000000"/>
                </a:solidFill>
                <a:latin typeface="Times New Roman" panose="02020603050405020304" pitchFamily="18" charset="0"/>
                <a:cs typeface="Times New Roman" panose="02020603050405020304" pitchFamily="18" charset="0"/>
              </a:rPr>
              <a:t>- 20 µg/m³   </a:t>
            </a:r>
            <a:endParaRPr lang="ro-RO" sz="1000">
              <a:solidFill>
                <a:sysClr val="windowText" lastClr="000000"/>
              </a:solidFill>
              <a:latin typeface="Times New Roman" panose="02020603050405020304" pitchFamily="18" charset="0"/>
              <a:cs typeface="Times New Roman" panose="02020603050405020304" pitchFamily="18" charset="0"/>
            </a:endParaRPr>
          </a:p>
          <a:p>
            <a:pPr>
              <a:defRPr sz="1000">
                <a:solidFill>
                  <a:sysClr val="windowText" lastClr="000000"/>
                </a:solidFill>
                <a:latin typeface="Times New Roman" panose="02020603050405020304" pitchFamily="18" charset="0"/>
                <a:cs typeface="Times New Roman" panose="02020603050405020304" pitchFamily="18" charset="0"/>
              </a:defRPr>
            </a:pPr>
            <a:r>
              <a:rPr lang="en-US" sz="1000">
                <a:solidFill>
                  <a:sysClr val="windowText" lastClr="000000"/>
                </a:solidFill>
                <a:latin typeface="Times New Roman" panose="02020603050405020304" pitchFamily="18" charset="0"/>
                <a:cs typeface="Times New Roman" panose="02020603050405020304" pitchFamily="18" charset="0"/>
              </a:rPr>
              <a:t>ANNUAL AVERAGE Concentration</a:t>
            </a:r>
          </a:p>
        </c:rich>
      </c:tx>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o-RO"/>
        </a:p>
      </c:txPr>
    </c:title>
    <c:autoTitleDeleted val="0"/>
    <c:plotArea>
      <c:layout/>
      <c:barChart>
        <c:barDir val="col"/>
        <c:grouping val="clustered"/>
        <c:varyColors val="0"/>
        <c:ser>
          <c:idx val="0"/>
          <c:order val="0"/>
          <c:tx>
            <c:strRef>
              <c:f>'CALCULE ȘI GRAFICE PE 5 ANI'!$B$15</c:f>
              <c:strCache>
                <c:ptCount val="1"/>
                <c:pt idx="0">
                  <c:v>2019</c:v>
                </c:pt>
              </c:strCache>
            </c:strRef>
          </c:tx>
          <c:spPr>
            <a:solidFill>
              <a:schemeClr val="accent1"/>
            </a:solidFill>
            <a:ln>
              <a:noFill/>
            </a:ln>
            <a:effectLst/>
          </c:spPr>
          <c:invertIfNegative val="0"/>
          <c:dLbls>
            <c:dLbl>
              <c:idx val="2"/>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B74-43F7-B21F-3E59E050111D}"/>
                </c:ext>
              </c:extLst>
            </c:dLbl>
            <c:dLbl>
              <c:idx val="7"/>
              <c:layout>
                <c:manualLayout>
                  <c:x val="-5.5202870549268561E-3"/>
                  <c:y val="-2.323555039209996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B74-43F7-B21F-3E59E050111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Palatino Linotype" panose="02040502050505030304" pitchFamily="18" charset="0"/>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'CALCULE ȘI GRAFICE PE 5 ANI'!$C$4:$J$4</c:f>
              <c:strCache>
                <c:ptCount val="8"/>
                <c:pt idx="0">
                  <c:v>B1</c:v>
                </c:pt>
                <c:pt idx="1">
                  <c:v>B2</c:v>
                </c:pt>
                <c:pt idx="2">
                  <c:v>B3</c:v>
                </c:pt>
                <c:pt idx="3">
                  <c:v>B4</c:v>
                </c:pt>
                <c:pt idx="4">
                  <c:v>B5</c:v>
                </c:pt>
                <c:pt idx="5">
                  <c:v>B6</c:v>
                </c:pt>
                <c:pt idx="6">
                  <c:v>B7</c:v>
                </c:pt>
                <c:pt idx="7">
                  <c:v>B8</c:v>
                </c:pt>
              </c:strCache>
            </c:strRef>
          </c:cat>
          <c:val>
            <c:numRef>
              <c:f>'CALCULE ȘI GRAFICE PE 5 ANI'!$C$15:$J$15</c:f>
              <c:numCache>
                <c:formatCode>#,##0.00</c:formatCode>
                <c:ptCount val="8"/>
                <c:pt idx="0">
                  <c:v>28.812187500000011</c:v>
                </c:pt>
                <c:pt idx="1">
                  <c:v>26.754135802469129</c:v>
                </c:pt>
                <c:pt idx="2">
                  <c:v>35.6907142857143</c:v>
                </c:pt>
                <c:pt idx="3">
                  <c:v>27.687407407407413</c:v>
                </c:pt>
                <c:pt idx="4">
                  <c:v>30.035523465703978</c:v>
                </c:pt>
                <c:pt idx="5">
                  <c:v>34.406123076923045</c:v>
                </c:pt>
                <c:pt idx="6">
                  <c:v>26.69653846153847</c:v>
                </c:pt>
                <c:pt idx="7">
                  <c:v>21.326986754966867</c:v>
                </c:pt>
              </c:numCache>
            </c:numRef>
          </c:val>
          <c:extLst>
            <c:ext xmlns:c16="http://schemas.microsoft.com/office/drawing/2014/chart" uri="{C3380CC4-5D6E-409C-BE32-E72D297353CC}">
              <c16:uniqueId val="{00000002-6B74-43F7-B21F-3E59E050111D}"/>
            </c:ext>
          </c:extLst>
        </c:ser>
        <c:ser>
          <c:idx val="1"/>
          <c:order val="1"/>
          <c:tx>
            <c:strRef>
              <c:f>'CALCULE ȘI GRAFICE PE 5 ANI'!$B$16</c:f>
              <c:strCache>
                <c:ptCount val="1"/>
                <c:pt idx="0">
                  <c:v>2020</c:v>
                </c:pt>
              </c:strCache>
            </c:strRef>
          </c:tx>
          <c:spPr>
            <a:solidFill>
              <a:schemeClr val="accent2"/>
            </a:solidFill>
            <a:ln>
              <a:noFill/>
            </a:ln>
            <a:effectLst/>
          </c:spPr>
          <c:invertIfNegative val="0"/>
          <c:cat>
            <c:strRef>
              <c:f>'CALCULE ȘI GRAFICE PE 5 ANI'!$C$4:$J$4</c:f>
              <c:strCache>
                <c:ptCount val="8"/>
                <c:pt idx="0">
                  <c:v>B1</c:v>
                </c:pt>
                <c:pt idx="1">
                  <c:v>B2</c:v>
                </c:pt>
                <c:pt idx="2">
                  <c:v>B3</c:v>
                </c:pt>
                <c:pt idx="3">
                  <c:v>B4</c:v>
                </c:pt>
                <c:pt idx="4">
                  <c:v>B5</c:v>
                </c:pt>
                <c:pt idx="5">
                  <c:v>B6</c:v>
                </c:pt>
                <c:pt idx="6">
                  <c:v>B7</c:v>
                </c:pt>
                <c:pt idx="7">
                  <c:v>B8</c:v>
                </c:pt>
              </c:strCache>
            </c:strRef>
          </c:cat>
          <c:val>
            <c:numRef>
              <c:f>'CALCULE ȘI GRAFICE PE 5 ANI'!$C$16:$J$16</c:f>
              <c:numCache>
                <c:formatCode>#,##0.00</c:formatCode>
                <c:ptCount val="8"/>
                <c:pt idx="0">
                  <c:v>29.208143322475546</c:v>
                </c:pt>
                <c:pt idx="1">
                  <c:v>24.352344827586201</c:v>
                </c:pt>
                <c:pt idx="2">
                  <c:v>32.198153846153851</c:v>
                </c:pt>
                <c:pt idx="3">
                  <c:v>26.49426229508196</c:v>
                </c:pt>
                <c:pt idx="4">
                  <c:v>27.25257142857145</c:v>
                </c:pt>
                <c:pt idx="5">
                  <c:v>28.87483483483485</c:v>
                </c:pt>
                <c:pt idx="6">
                  <c:v>23.891754966887408</c:v>
                </c:pt>
                <c:pt idx="7">
                  <c:v>19.643463855421675</c:v>
                </c:pt>
              </c:numCache>
            </c:numRef>
          </c:val>
          <c:extLst>
            <c:ext xmlns:c16="http://schemas.microsoft.com/office/drawing/2014/chart" uri="{C3380CC4-5D6E-409C-BE32-E72D297353CC}">
              <c16:uniqueId val="{00000003-6B74-43F7-B21F-3E59E050111D}"/>
            </c:ext>
          </c:extLst>
        </c:ser>
        <c:ser>
          <c:idx val="2"/>
          <c:order val="2"/>
          <c:tx>
            <c:strRef>
              <c:f>'CALCULE ȘI GRAFICE PE 5 ANI'!$B$17</c:f>
              <c:strCache>
                <c:ptCount val="1"/>
                <c:pt idx="0">
                  <c:v>2021</c:v>
                </c:pt>
              </c:strCache>
            </c:strRef>
          </c:tx>
          <c:spPr>
            <a:solidFill>
              <a:schemeClr val="accent3"/>
            </a:solidFill>
            <a:ln>
              <a:noFill/>
            </a:ln>
            <a:effectLst/>
          </c:spPr>
          <c:invertIfNegative val="0"/>
          <c:cat>
            <c:strRef>
              <c:f>'CALCULE ȘI GRAFICE PE 5 ANI'!$C$4:$J$4</c:f>
              <c:strCache>
                <c:ptCount val="8"/>
                <c:pt idx="0">
                  <c:v>B1</c:v>
                </c:pt>
                <c:pt idx="1">
                  <c:v>B2</c:v>
                </c:pt>
                <c:pt idx="2">
                  <c:v>B3</c:v>
                </c:pt>
                <c:pt idx="3">
                  <c:v>B4</c:v>
                </c:pt>
                <c:pt idx="4">
                  <c:v>B5</c:v>
                </c:pt>
                <c:pt idx="5">
                  <c:v>B6</c:v>
                </c:pt>
                <c:pt idx="6">
                  <c:v>B7</c:v>
                </c:pt>
                <c:pt idx="7">
                  <c:v>B8</c:v>
                </c:pt>
              </c:strCache>
            </c:strRef>
          </c:cat>
          <c:val>
            <c:numRef>
              <c:f>'CALCULE ȘI GRAFICE PE 5 ANI'!$C$17:$J$17</c:f>
              <c:numCache>
                <c:formatCode>#,##0.00</c:formatCode>
                <c:ptCount val="8"/>
                <c:pt idx="0">
                  <c:v>25.838925373134316</c:v>
                </c:pt>
                <c:pt idx="1">
                  <c:v>23.906607669616509</c:v>
                </c:pt>
                <c:pt idx="2">
                  <c:v>30.769939577039278</c:v>
                </c:pt>
                <c:pt idx="3">
                  <c:v>25.216122448979583</c:v>
                </c:pt>
                <c:pt idx="4">
                  <c:v>25.99725075528702</c:v>
                </c:pt>
                <c:pt idx="5">
                  <c:v>27.045865724381606</c:v>
                </c:pt>
                <c:pt idx="6">
                  <c:v>24.547236024844715</c:v>
                </c:pt>
                <c:pt idx="7">
                  <c:v>18.922195845697338</c:v>
                </c:pt>
              </c:numCache>
            </c:numRef>
          </c:val>
          <c:extLst>
            <c:ext xmlns:c16="http://schemas.microsoft.com/office/drawing/2014/chart" uri="{C3380CC4-5D6E-409C-BE32-E72D297353CC}">
              <c16:uniqueId val="{00000004-6B74-43F7-B21F-3E59E050111D}"/>
            </c:ext>
          </c:extLst>
        </c:ser>
        <c:ser>
          <c:idx val="3"/>
          <c:order val="3"/>
          <c:tx>
            <c:strRef>
              <c:f>'CALCULE ȘI GRAFICE PE 5 ANI'!$B$18</c:f>
              <c:strCache>
                <c:ptCount val="1"/>
                <c:pt idx="0">
                  <c:v>2022</c:v>
                </c:pt>
              </c:strCache>
            </c:strRef>
          </c:tx>
          <c:spPr>
            <a:solidFill>
              <a:schemeClr val="accent4"/>
            </a:solidFill>
            <a:ln>
              <a:noFill/>
            </a:ln>
            <a:effectLst/>
          </c:spPr>
          <c:invertIfNegative val="0"/>
          <c:dLbls>
            <c:dLbl>
              <c:idx val="7"/>
              <c:layout>
                <c:manualLayout>
                  <c:x val="-1.012040935553342E-16"/>
                  <c:y val="-2.323555039209996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B74-43F7-B21F-3E59E050111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Palatino Linotype" panose="02040502050505030304" pitchFamily="18" charset="0"/>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'CALCULE ȘI GRAFICE PE 5 ANI'!$C$4:$J$4</c:f>
              <c:strCache>
                <c:ptCount val="8"/>
                <c:pt idx="0">
                  <c:v>B1</c:v>
                </c:pt>
                <c:pt idx="1">
                  <c:v>B2</c:v>
                </c:pt>
                <c:pt idx="2">
                  <c:v>B3</c:v>
                </c:pt>
                <c:pt idx="3">
                  <c:v>B4</c:v>
                </c:pt>
                <c:pt idx="4">
                  <c:v>B5</c:v>
                </c:pt>
                <c:pt idx="5">
                  <c:v>B6</c:v>
                </c:pt>
                <c:pt idx="6">
                  <c:v>B7</c:v>
                </c:pt>
                <c:pt idx="7">
                  <c:v>B8</c:v>
                </c:pt>
              </c:strCache>
            </c:strRef>
          </c:cat>
          <c:val>
            <c:numRef>
              <c:f>'CALCULE ȘI GRAFICE PE 5 ANI'!$C$18:$J$18</c:f>
              <c:numCache>
                <c:formatCode>#,##0.00</c:formatCode>
                <c:ptCount val="8"/>
                <c:pt idx="0">
                  <c:v>25.116089743589725</c:v>
                </c:pt>
                <c:pt idx="1">
                  <c:v>23.374102564102564</c:v>
                </c:pt>
                <c:pt idx="2">
                  <c:v>30.010566666666666</c:v>
                </c:pt>
                <c:pt idx="3">
                  <c:v>24.856787709497205</c:v>
                </c:pt>
                <c:pt idx="4">
                  <c:v>24.987290969899664</c:v>
                </c:pt>
                <c:pt idx="5">
                  <c:v>26.450850439882686</c:v>
                </c:pt>
                <c:pt idx="6">
                  <c:v>27.907112676056339</c:v>
                </c:pt>
                <c:pt idx="7">
                  <c:v>17.888073089701006</c:v>
                </c:pt>
              </c:numCache>
            </c:numRef>
          </c:val>
          <c:extLst>
            <c:ext xmlns:c16="http://schemas.microsoft.com/office/drawing/2014/chart" uri="{C3380CC4-5D6E-409C-BE32-E72D297353CC}">
              <c16:uniqueId val="{00000006-6B74-43F7-B21F-3E59E050111D}"/>
            </c:ext>
          </c:extLst>
        </c:ser>
        <c:ser>
          <c:idx val="4"/>
          <c:order val="4"/>
          <c:tx>
            <c:strRef>
              <c:f>'CALCULE ȘI GRAFICE PE 5 ANI'!$B$19</c:f>
              <c:strCache>
                <c:ptCount val="1"/>
                <c:pt idx="0">
                  <c:v>2023
Annual limit value</c:v>
                </c:pt>
              </c:strCache>
            </c:strRef>
          </c:tx>
          <c:spPr>
            <a:solidFill>
              <a:schemeClr val="accent5"/>
            </a:solidFill>
            <a:ln>
              <a:noFill/>
            </a:ln>
            <a:effectLst/>
          </c:spPr>
          <c:invertIfNegative val="0"/>
          <c:cat>
            <c:strRef>
              <c:f>'CALCULE ȘI GRAFICE PE 5 ANI'!$C$4:$J$4</c:f>
              <c:strCache>
                <c:ptCount val="8"/>
                <c:pt idx="0">
                  <c:v>B1</c:v>
                </c:pt>
                <c:pt idx="1">
                  <c:v>B2</c:v>
                </c:pt>
                <c:pt idx="2">
                  <c:v>B3</c:v>
                </c:pt>
                <c:pt idx="3">
                  <c:v>B4</c:v>
                </c:pt>
                <c:pt idx="4">
                  <c:v>B5</c:v>
                </c:pt>
                <c:pt idx="5">
                  <c:v>B6</c:v>
                </c:pt>
                <c:pt idx="6">
                  <c:v>B7</c:v>
                </c:pt>
                <c:pt idx="7">
                  <c:v>B8</c:v>
                </c:pt>
              </c:strCache>
            </c:strRef>
          </c:cat>
          <c:val>
            <c:numRef>
              <c:f>'CALCULE ȘI GRAFICE PE 5 ANI'!$C$19:$J$19</c:f>
              <c:numCache>
                <c:formatCode>#,##0.00</c:formatCode>
                <c:ptCount val="8"/>
                <c:pt idx="0">
                  <c:v>24.494849498327746</c:v>
                </c:pt>
                <c:pt idx="1">
                  <c:v>22.195722222222216</c:v>
                </c:pt>
                <c:pt idx="2">
                  <c:v>29.143135313531342</c:v>
                </c:pt>
                <c:pt idx="3">
                  <c:v>23.543660714285721</c:v>
                </c:pt>
                <c:pt idx="4">
                  <c:v>25.725231213872824</c:v>
                </c:pt>
                <c:pt idx="6">
                  <c:v>23.934125412541235</c:v>
                </c:pt>
                <c:pt idx="7">
                  <c:v>18.777325581395345</c:v>
                </c:pt>
              </c:numCache>
            </c:numRef>
          </c:val>
          <c:extLst>
            <c:ext xmlns:c16="http://schemas.microsoft.com/office/drawing/2014/chart" uri="{C3380CC4-5D6E-409C-BE32-E72D297353CC}">
              <c16:uniqueId val="{00000007-6B74-43F7-B21F-3E59E050111D}"/>
            </c:ext>
          </c:extLst>
        </c:ser>
        <c:dLbls>
          <c:showLegendKey val="0"/>
          <c:showVal val="0"/>
          <c:showCatName val="0"/>
          <c:showSerName val="0"/>
          <c:showPercent val="0"/>
          <c:showBubbleSize val="0"/>
        </c:dLbls>
        <c:gapWidth val="219"/>
        <c:overlap val="-27"/>
        <c:axId val="594959040"/>
        <c:axId val="594959760"/>
      </c:barChart>
      <c:catAx>
        <c:axId val="594959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en-US"/>
          </a:p>
        </c:txPr>
        <c:crossAx val="594959760"/>
        <c:crosses val="autoZero"/>
        <c:auto val="1"/>
        <c:lblAlgn val="ctr"/>
        <c:lblOffset val="100"/>
        <c:noMultiLvlLbl val="0"/>
      </c:catAx>
      <c:valAx>
        <c:axId val="594959760"/>
        <c:scaling>
          <c:orientation val="minMax"/>
          <c:max val="4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Palatino Linotype" panose="02040502050505030304" pitchFamily="18" charset="0"/>
                    <a:ea typeface="+mn-ea"/>
                    <a:cs typeface="+mn-cs"/>
                  </a:defRPr>
                </a:pPr>
                <a:r>
                  <a:rPr lang="en-US"/>
                  <a:t>µg/m³  </a:t>
                </a:r>
              </a:p>
            </c:rich>
          </c:tx>
          <c:layout>
            <c:manualLayout>
              <c:xMode val="edge"/>
              <c:yMode val="edge"/>
              <c:x val="1.9352292484758164E-2"/>
              <c:y val="0.3815909004079449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94959040"/>
        <c:crosses val="autoZero"/>
        <c:crossBetween val="between"/>
        <c:majorUnit val="1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Palatino Linotype" panose="02040502050505030304" pitchFamily="18" charset="0"/>
        </a:defRPr>
      </a:pPr>
      <a:endParaRPr lang="en-US"/>
    </a:p>
  </c:txPr>
  <c:externalData r:id="rId4">
    <c:autoUpdate val="0"/>
  </c:externalData>
  <c:userShapes r:id="rId5"/>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a:t>PM</a:t>
            </a:r>
            <a:r>
              <a:rPr lang="en-US" sz="1000" baseline="-25000"/>
              <a:t>10</a:t>
            </a:r>
            <a:r>
              <a:rPr lang="ro-RO" sz="1000"/>
              <a:t> </a:t>
            </a:r>
            <a:r>
              <a:rPr lang="en-US" sz="1000"/>
              <a:t>-</a:t>
            </a:r>
            <a:r>
              <a:rPr lang="ro-RO" sz="1000"/>
              <a:t> </a:t>
            </a:r>
            <a:r>
              <a:rPr lang="en-US" sz="1000"/>
              <a:t>number of the exceedances of the upper assesment threshold</a:t>
            </a:r>
            <a:r>
              <a:rPr lang="ro-RO" sz="1000"/>
              <a:t> </a:t>
            </a:r>
            <a:endParaRPr lang="en-US" sz="1000"/>
          </a:p>
          <a:p>
            <a:pPr>
              <a:defRPr sz="1000"/>
            </a:pPr>
            <a:r>
              <a:rPr lang="en-US" sz="1000"/>
              <a:t>Daily average</a:t>
            </a:r>
          </a:p>
        </c:rich>
      </c:tx>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'CALCULE ȘI GRAFICE PE 5 ANI'!$B$28</c:f>
              <c:strCache>
                <c:ptCount val="1"/>
                <c:pt idx="0">
                  <c:v>2019</c:v>
                </c:pt>
              </c:strCache>
            </c:strRef>
          </c:tx>
          <c:spPr>
            <a:solidFill>
              <a:schemeClr val="accent1"/>
            </a:solidFill>
            <a:ln>
              <a:noFill/>
            </a:ln>
            <a:effectLst/>
          </c:spPr>
          <c:invertIfNegative val="0"/>
          <c:dLbls>
            <c:dLbl>
              <c:idx val="2"/>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C42-42BF-8A1E-B7CB58B60964}"/>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'CALCULE ȘI GRAFICE PE 5 ANI'!$C$4:$J$4</c:f>
              <c:strCache>
                <c:ptCount val="8"/>
                <c:pt idx="0">
                  <c:v>B1</c:v>
                </c:pt>
                <c:pt idx="1">
                  <c:v>B2</c:v>
                </c:pt>
                <c:pt idx="2">
                  <c:v>B3</c:v>
                </c:pt>
                <c:pt idx="3">
                  <c:v>B4</c:v>
                </c:pt>
                <c:pt idx="4">
                  <c:v>B5</c:v>
                </c:pt>
                <c:pt idx="5">
                  <c:v>B6</c:v>
                </c:pt>
                <c:pt idx="6">
                  <c:v>B7</c:v>
                </c:pt>
                <c:pt idx="7">
                  <c:v>B8</c:v>
                </c:pt>
              </c:strCache>
            </c:strRef>
          </c:cat>
          <c:val>
            <c:numRef>
              <c:f>'CALCULE ȘI GRAFICE PE 5 ANI'!$C$28:$J$28</c:f>
              <c:numCache>
                <c:formatCode>0</c:formatCode>
                <c:ptCount val="8"/>
                <c:pt idx="0">
                  <c:v>83</c:v>
                </c:pt>
                <c:pt idx="1">
                  <c:v>66</c:v>
                </c:pt>
                <c:pt idx="2">
                  <c:v>154</c:v>
                </c:pt>
                <c:pt idx="3">
                  <c:v>67</c:v>
                </c:pt>
                <c:pt idx="4">
                  <c:v>75</c:v>
                </c:pt>
                <c:pt idx="5">
                  <c:v>129</c:v>
                </c:pt>
                <c:pt idx="6">
                  <c:v>45</c:v>
                </c:pt>
                <c:pt idx="7">
                  <c:v>26</c:v>
                </c:pt>
              </c:numCache>
            </c:numRef>
          </c:val>
          <c:extLst>
            <c:ext xmlns:c16="http://schemas.microsoft.com/office/drawing/2014/chart" uri="{C3380CC4-5D6E-409C-BE32-E72D297353CC}">
              <c16:uniqueId val="{00000001-5C42-42BF-8A1E-B7CB58B60964}"/>
            </c:ext>
          </c:extLst>
        </c:ser>
        <c:ser>
          <c:idx val="1"/>
          <c:order val="1"/>
          <c:tx>
            <c:strRef>
              <c:f>'CALCULE ȘI GRAFICE PE 5 ANI'!$B$29</c:f>
              <c:strCache>
                <c:ptCount val="1"/>
                <c:pt idx="0">
                  <c:v>2020</c:v>
                </c:pt>
              </c:strCache>
            </c:strRef>
          </c:tx>
          <c:spPr>
            <a:solidFill>
              <a:schemeClr val="accent2"/>
            </a:solidFill>
            <a:ln>
              <a:noFill/>
            </a:ln>
            <a:effectLst/>
          </c:spPr>
          <c:invertIfNegative val="0"/>
          <c:cat>
            <c:strRef>
              <c:f>'CALCULE ȘI GRAFICE PE 5 ANI'!$C$4:$J$4</c:f>
              <c:strCache>
                <c:ptCount val="8"/>
                <c:pt idx="0">
                  <c:v>B1</c:v>
                </c:pt>
                <c:pt idx="1">
                  <c:v>B2</c:v>
                </c:pt>
                <c:pt idx="2">
                  <c:v>B3</c:v>
                </c:pt>
                <c:pt idx="3">
                  <c:v>B4</c:v>
                </c:pt>
                <c:pt idx="4">
                  <c:v>B5</c:v>
                </c:pt>
                <c:pt idx="5">
                  <c:v>B6</c:v>
                </c:pt>
                <c:pt idx="6">
                  <c:v>B7</c:v>
                </c:pt>
                <c:pt idx="7">
                  <c:v>B8</c:v>
                </c:pt>
              </c:strCache>
            </c:strRef>
          </c:cat>
          <c:val>
            <c:numRef>
              <c:f>'CALCULE ȘI GRAFICE PE 5 ANI'!$C$29:$J$29</c:f>
              <c:numCache>
                <c:formatCode>0</c:formatCode>
                <c:ptCount val="8"/>
                <c:pt idx="0">
                  <c:v>79</c:v>
                </c:pt>
                <c:pt idx="1">
                  <c:v>39</c:v>
                </c:pt>
                <c:pt idx="2">
                  <c:v>83</c:v>
                </c:pt>
                <c:pt idx="3">
                  <c:v>55</c:v>
                </c:pt>
                <c:pt idx="4">
                  <c:v>64</c:v>
                </c:pt>
                <c:pt idx="5">
                  <c:v>76</c:v>
                </c:pt>
                <c:pt idx="6">
                  <c:v>55</c:v>
                </c:pt>
                <c:pt idx="7">
                  <c:v>28</c:v>
                </c:pt>
              </c:numCache>
            </c:numRef>
          </c:val>
          <c:extLst>
            <c:ext xmlns:c16="http://schemas.microsoft.com/office/drawing/2014/chart" uri="{C3380CC4-5D6E-409C-BE32-E72D297353CC}">
              <c16:uniqueId val="{00000002-5C42-42BF-8A1E-B7CB58B60964}"/>
            </c:ext>
          </c:extLst>
        </c:ser>
        <c:ser>
          <c:idx val="2"/>
          <c:order val="2"/>
          <c:tx>
            <c:strRef>
              <c:f>'CALCULE ȘI GRAFICE PE 5 ANI'!$B$30</c:f>
              <c:strCache>
                <c:ptCount val="1"/>
                <c:pt idx="0">
                  <c:v>2021</c:v>
                </c:pt>
              </c:strCache>
            </c:strRef>
          </c:tx>
          <c:spPr>
            <a:solidFill>
              <a:schemeClr val="accent3"/>
            </a:solidFill>
            <a:ln>
              <a:noFill/>
            </a:ln>
            <a:effectLst/>
          </c:spPr>
          <c:invertIfNegative val="0"/>
          <c:cat>
            <c:strRef>
              <c:f>'CALCULE ȘI GRAFICE PE 5 ANI'!$C$4:$J$4</c:f>
              <c:strCache>
                <c:ptCount val="8"/>
                <c:pt idx="0">
                  <c:v>B1</c:v>
                </c:pt>
                <c:pt idx="1">
                  <c:v>B2</c:v>
                </c:pt>
                <c:pt idx="2">
                  <c:v>B3</c:v>
                </c:pt>
                <c:pt idx="3">
                  <c:v>B4</c:v>
                </c:pt>
                <c:pt idx="4">
                  <c:v>B5</c:v>
                </c:pt>
                <c:pt idx="5">
                  <c:v>B6</c:v>
                </c:pt>
                <c:pt idx="6">
                  <c:v>B7</c:v>
                </c:pt>
                <c:pt idx="7">
                  <c:v>B8</c:v>
                </c:pt>
              </c:strCache>
            </c:strRef>
          </c:cat>
          <c:val>
            <c:numRef>
              <c:f>'CALCULE ȘI GRAFICE PE 5 ANI'!$C$30:$J$30</c:f>
              <c:numCache>
                <c:formatCode>0</c:formatCode>
                <c:ptCount val="8"/>
                <c:pt idx="0">
                  <c:v>63</c:v>
                </c:pt>
                <c:pt idx="1">
                  <c:v>50</c:v>
                </c:pt>
                <c:pt idx="2">
                  <c:v>109</c:v>
                </c:pt>
                <c:pt idx="3">
                  <c:v>48</c:v>
                </c:pt>
                <c:pt idx="4">
                  <c:v>64</c:v>
                </c:pt>
                <c:pt idx="5">
                  <c:v>58</c:v>
                </c:pt>
                <c:pt idx="6">
                  <c:v>50</c:v>
                </c:pt>
                <c:pt idx="7">
                  <c:v>26</c:v>
                </c:pt>
              </c:numCache>
            </c:numRef>
          </c:val>
          <c:extLst>
            <c:ext xmlns:c16="http://schemas.microsoft.com/office/drawing/2014/chart" uri="{C3380CC4-5D6E-409C-BE32-E72D297353CC}">
              <c16:uniqueId val="{00000003-5C42-42BF-8A1E-B7CB58B60964}"/>
            </c:ext>
          </c:extLst>
        </c:ser>
        <c:ser>
          <c:idx val="3"/>
          <c:order val="3"/>
          <c:tx>
            <c:strRef>
              <c:f>'CALCULE ȘI GRAFICE PE 5 ANI'!$B$31</c:f>
              <c:strCache>
                <c:ptCount val="1"/>
                <c:pt idx="0">
                  <c:v>2022</c:v>
                </c:pt>
              </c:strCache>
            </c:strRef>
          </c:tx>
          <c:spPr>
            <a:solidFill>
              <a:schemeClr val="accent4"/>
            </a:solidFill>
            <a:ln>
              <a:noFill/>
            </a:ln>
            <a:effectLst/>
          </c:spPr>
          <c:invertIfNegative val="0"/>
          <c:dLbls>
            <c:dLbl>
              <c:idx val="7"/>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C42-42BF-8A1E-B7CB58B60964}"/>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'CALCULE ȘI GRAFICE PE 5 ANI'!$C$4:$J$4</c:f>
              <c:strCache>
                <c:ptCount val="8"/>
                <c:pt idx="0">
                  <c:v>B1</c:v>
                </c:pt>
                <c:pt idx="1">
                  <c:v>B2</c:v>
                </c:pt>
                <c:pt idx="2">
                  <c:v>B3</c:v>
                </c:pt>
                <c:pt idx="3">
                  <c:v>B4</c:v>
                </c:pt>
                <c:pt idx="4">
                  <c:v>B5</c:v>
                </c:pt>
                <c:pt idx="5">
                  <c:v>B6</c:v>
                </c:pt>
                <c:pt idx="6">
                  <c:v>B7</c:v>
                </c:pt>
                <c:pt idx="7">
                  <c:v>B8</c:v>
                </c:pt>
              </c:strCache>
            </c:strRef>
          </c:cat>
          <c:val>
            <c:numRef>
              <c:f>'CALCULE ȘI GRAFICE PE 5 ANI'!$C$31:$J$31</c:f>
              <c:numCache>
                <c:formatCode>0</c:formatCode>
                <c:ptCount val="8"/>
                <c:pt idx="0">
                  <c:v>57</c:v>
                </c:pt>
                <c:pt idx="1">
                  <c:v>44</c:v>
                </c:pt>
                <c:pt idx="2">
                  <c:v>75</c:v>
                </c:pt>
                <c:pt idx="3">
                  <c:v>51</c:v>
                </c:pt>
                <c:pt idx="4">
                  <c:v>47</c:v>
                </c:pt>
                <c:pt idx="5">
                  <c:v>60</c:v>
                </c:pt>
                <c:pt idx="6">
                  <c:v>65</c:v>
                </c:pt>
                <c:pt idx="7">
                  <c:v>16</c:v>
                </c:pt>
              </c:numCache>
            </c:numRef>
          </c:val>
          <c:extLst>
            <c:ext xmlns:c16="http://schemas.microsoft.com/office/drawing/2014/chart" uri="{C3380CC4-5D6E-409C-BE32-E72D297353CC}">
              <c16:uniqueId val="{00000005-5C42-42BF-8A1E-B7CB58B60964}"/>
            </c:ext>
          </c:extLst>
        </c:ser>
        <c:ser>
          <c:idx val="4"/>
          <c:order val="4"/>
          <c:tx>
            <c:strRef>
              <c:f>'CALCULE ȘI GRAFICE PE 5 ANI'!$B$32</c:f>
              <c:strCache>
                <c:ptCount val="1"/>
                <c:pt idx="0">
                  <c:v>2023
Maximum number of exceedances</c:v>
                </c:pt>
              </c:strCache>
            </c:strRef>
          </c:tx>
          <c:spPr>
            <a:solidFill>
              <a:schemeClr val="accent5"/>
            </a:solidFill>
            <a:ln>
              <a:noFill/>
            </a:ln>
            <a:effectLst/>
          </c:spPr>
          <c:invertIfNegative val="0"/>
          <c:cat>
            <c:strRef>
              <c:f>'CALCULE ȘI GRAFICE PE 5 ANI'!$C$4:$J$4</c:f>
              <c:strCache>
                <c:ptCount val="8"/>
                <c:pt idx="0">
                  <c:v>B1</c:v>
                </c:pt>
                <c:pt idx="1">
                  <c:v>B2</c:v>
                </c:pt>
                <c:pt idx="2">
                  <c:v>B3</c:v>
                </c:pt>
                <c:pt idx="3">
                  <c:v>B4</c:v>
                </c:pt>
                <c:pt idx="4">
                  <c:v>B5</c:v>
                </c:pt>
                <c:pt idx="5">
                  <c:v>B6</c:v>
                </c:pt>
                <c:pt idx="6">
                  <c:v>B7</c:v>
                </c:pt>
                <c:pt idx="7">
                  <c:v>B8</c:v>
                </c:pt>
              </c:strCache>
            </c:strRef>
          </c:cat>
          <c:val>
            <c:numRef>
              <c:f>'CALCULE ȘI GRAFICE PE 5 ANI'!$C$32:$J$32</c:f>
              <c:numCache>
                <c:formatCode>0</c:formatCode>
                <c:ptCount val="8"/>
                <c:pt idx="0">
                  <c:v>49</c:v>
                </c:pt>
                <c:pt idx="1">
                  <c:v>49</c:v>
                </c:pt>
                <c:pt idx="2">
                  <c:v>73</c:v>
                </c:pt>
                <c:pt idx="3">
                  <c:v>48</c:v>
                </c:pt>
                <c:pt idx="4">
                  <c:v>70</c:v>
                </c:pt>
                <c:pt idx="6">
                  <c:v>39</c:v>
                </c:pt>
                <c:pt idx="7">
                  <c:v>25</c:v>
                </c:pt>
              </c:numCache>
            </c:numRef>
          </c:val>
          <c:extLst>
            <c:ext xmlns:c16="http://schemas.microsoft.com/office/drawing/2014/chart" uri="{C3380CC4-5D6E-409C-BE32-E72D297353CC}">
              <c16:uniqueId val="{00000006-5C42-42BF-8A1E-B7CB58B60964}"/>
            </c:ext>
          </c:extLst>
        </c:ser>
        <c:dLbls>
          <c:showLegendKey val="0"/>
          <c:showVal val="0"/>
          <c:showCatName val="0"/>
          <c:showSerName val="0"/>
          <c:showPercent val="0"/>
          <c:showBubbleSize val="0"/>
        </c:dLbls>
        <c:gapWidth val="219"/>
        <c:overlap val="-27"/>
        <c:axId val="594959040"/>
        <c:axId val="594959760"/>
      </c:barChart>
      <c:catAx>
        <c:axId val="594959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94959760"/>
        <c:crosses val="autoZero"/>
        <c:auto val="1"/>
        <c:lblAlgn val="ctr"/>
        <c:lblOffset val="100"/>
        <c:noMultiLvlLbl val="0"/>
      </c:catAx>
      <c:valAx>
        <c:axId val="594959760"/>
        <c:scaling>
          <c:orientation val="minMax"/>
          <c:max val="175"/>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µg/m³  </a:t>
                </a:r>
              </a:p>
            </c:rich>
          </c:tx>
          <c:layout>
            <c:manualLayout>
              <c:xMode val="edge"/>
              <c:yMode val="edge"/>
              <c:x val="1.9352292484758164E-2"/>
              <c:y val="0.3815909004079449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94959040"/>
        <c:crosses val="autoZero"/>
        <c:crossBetween val="between"/>
        <c:majorUnit val="3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userShapes r:id="rId5"/>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a:t>PM</a:t>
            </a:r>
            <a:r>
              <a:rPr lang="en-US" sz="1000" baseline="-25000"/>
              <a:t>10</a:t>
            </a:r>
            <a:r>
              <a:rPr lang="ro-RO" sz="1000"/>
              <a:t> </a:t>
            </a:r>
            <a:r>
              <a:rPr lang="en-US" sz="1000"/>
              <a:t>-</a:t>
            </a:r>
            <a:r>
              <a:rPr lang="ro-RO" sz="1000"/>
              <a:t> </a:t>
            </a:r>
            <a:r>
              <a:rPr lang="en-US" sz="1000"/>
              <a:t>The upper assessment threshold - 2</a:t>
            </a:r>
            <a:r>
              <a:rPr lang="ro-RO" sz="1000"/>
              <a:t>8</a:t>
            </a:r>
            <a:r>
              <a:rPr lang="en-US" sz="1000"/>
              <a:t> µg/m³  anual average concentration </a:t>
            </a:r>
          </a:p>
        </c:rich>
      </c:tx>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'CALCULE ȘI GRAFICE PE 5 ANI'!$B$42</c:f>
              <c:strCache>
                <c:ptCount val="1"/>
                <c:pt idx="0">
                  <c:v>2019</c:v>
                </c:pt>
              </c:strCache>
            </c:strRef>
          </c:tx>
          <c:spPr>
            <a:solidFill>
              <a:schemeClr val="accent1"/>
            </a:solidFill>
            <a:ln>
              <a:noFill/>
            </a:ln>
            <a:effectLst/>
          </c:spPr>
          <c:invertIfNegative val="0"/>
          <c:dLbls>
            <c:dLbl>
              <c:idx val="2"/>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94F-4089-9F96-C1DCBE4901F5}"/>
                </c:ext>
              </c:extLst>
            </c:dLbl>
            <c:dLbl>
              <c:idx val="4"/>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94F-4089-9F96-C1DCBE4901F5}"/>
                </c:ext>
              </c:extLst>
            </c:dLbl>
            <c:dLbl>
              <c:idx val="5"/>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94F-4089-9F96-C1DCBE4901F5}"/>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'CALCULE ȘI GRAFICE PE 5 ANI'!$C$4:$J$4</c:f>
              <c:strCache>
                <c:ptCount val="8"/>
                <c:pt idx="0">
                  <c:v>B1</c:v>
                </c:pt>
                <c:pt idx="1">
                  <c:v>B2</c:v>
                </c:pt>
                <c:pt idx="2">
                  <c:v>B3</c:v>
                </c:pt>
                <c:pt idx="3">
                  <c:v>B4</c:v>
                </c:pt>
                <c:pt idx="4">
                  <c:v>B5</c:v>
                </c:pt>
                <c:pt idx="5">
                  <c:v>B6</c:v>
                </c:pt>
                <c:pt idx="6">
                  <c:v>B7</c:v>
                </c:pt>
                <c:pt idx="7">
                  <c:v>B8</c:v>
                </c:pt>
              </c:strCache>
            </c:strRef>
          </c:cat>
          <c:val>
            <c:numRef>
              <c:f>'CALCULE ȘI GRAFICE PE 5 ANI'!$C$42:$J$42</c:f>
              <c:numCache>
                <c:formatCode>#,##0.00</c:formatCode>
                <c:ptCount val="8"/>
                <c:pt idx="0">
                  <c:v>28.812187500000011</c:v>
                </c:pt>
                <c:pt idx="1">
                  <c:v>26.754135802469129</c:v>
                </c:pt>
                <c:pt idx="2">
                  <c:v>35.6907142857143</c:v>
                </c:pt>
                <c:pt idx="3">
                  <c:v>27.687407407407413</c:v>
                </c:pt>
                <c:pt idx="4">
                  <c:v>30.035523465703978</c:v>
                </c:pt>
                <c:pt idx="5">
                  <c:v>34.406123076923045</c:v>
                </c:pt>
                <c:pt idx="6">
                  <c:v>26.69653846153847</c:v>
                </c:pt>
                <c:pt idx="7">
                  <c:v>21.326986754966867</c:v>
                </c:pt>
              </c:numCache>
            </c:numRef>
          </c:val>
          <c:extLst>
            <c:ext xmlns:c16="http://schemas.microsoft.com/office/drawing/2014/chart" uri="{C3380CC4-5D6E-409C-BE32-E72D297353CC}">
              <c16:uniqueId val="{00000003-D94F-4089-9F96-C1DCBE4901F5}"/>
            </c:ext>
          </c:extLst>
        </c:ser>
        <c:ser>
          <c:idx val="1"/>
          <c:order val="1"/>
          <c:tx>
            <c:strRef>
              <c:f>'CALCULE ȘI GRAFICE PE 5 ANI'!$B$43</c:f>
              <c:strCache>
                <c:ptCount val="1"/>
                <c:pt idx="0">
                  <c:v>2020</c:v>
                </c:pt>
              </c:strCache>
            </c:strRef>
          </c:tx>
          <c:spPr>
            <a:solidFill>
              <a:schemeClr val="accent2"/>
            </a:solidFill>
            <a:ln>
              <a:noFill/>
            </a:ln>
            <a:effectLst/>
          </c:spPr>
          <c:invertIfNegative val="0"/>
          <c:dLbls>
            <c:dLbl>
              <c:idx val="0"/>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94F-4089-9F96-C1DCBE4901F5}"/>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'CALCULE ȘI GRAFICE PE 5 ANI'!$C$4:$J$4</c:f>
              <c:strCache>
                <c:ptCount val="8"/>
                <c:pt idx="0">
                  <c:v>B1</c:v>
                </c:pt>
                <c:pt idx="1">
                  <c:v>B2</c:v>
                </c:pt>
                <c:pt idx="2">
                  <c:v>B3</c:v>
                </c:pt>
                <c:pt idx="3">
                  <c:v>B4</c:v>
                </c:pt>
                <c:pt idx="4">
                  <c:v>B5</c:v>
                </c:pt>
                <c:pt idx="5">
                  <c:v>B6</c:v>
                </c:pt>
                <c:pt idx="6">
                  <c:v>B7</c:v>
                </c:pt>
                <c:pt idx="7">
                  <c:v>B8</c:v>
                </c:pt>
              </c:strCache>
            </c:strRef>
          </c:cat>
          <c:val>
            <c:numRef>
              <c:f>'CALCULE ȘI GRAFICE PE 5 ANI'!$C$43:$J$43</c:f>
              <c:numCache>
                <c:formatCode>#,##0.00</c:formatCode>
                <c:ptCount val="8"/>
                <c:pt idx="0">
                  <c:v>29.208143322475546</c:v>
                </c:pt>
                <c:pt idx="1">
                  <c:v>24.352344827586201</c:v>
                </c:pt>
                <c:pt idx="2">
                  <c:v>32.198153846153851</c:v>
                </c:pt>
                <c:pt idx="3">
                  <c:v>26.49426229508196</c:v>
                </c:pt>
                <c:pt idx="4">
                  <c:v>27.25257142857145</c:v>
                </c:pt>
                <c:pt idx="5">
                  <c:v>28.87483483483485</c:v>
                </c:pt>
                <c:pt idx="6">
                  <c:v>23.891754966887408</c:v>
                </c:pt>
                <c:pt idx="7">
                  <c:v>19.643463855421675</c:v>
                </c:pt>
              </c:numCache>
            </c:numRef>
          </c:val>
          <c:extLst>
            <c:ext xmlns:c16="http://schemas.microsoft.com/office/drawing/2014/chart" uri="{C3380CC4-5D6E-409C-BE32-E72D297353CC}">
              <c16:uniqueId val="{00000005-D94F-4089-9F96-C1DCBE4901F5}"/>
            </c:ext>
          </c:extLst>
        </c:ser>
        <c:ser>
          <c:idx val="2"/>
          <c:order val="2"/>
          <c:tx>
            <c:strRef>
              <c:f>'CALCULE ȘI GRAFICE PE 5 ANI'!$B$44</c:f>
              <c:strCache>
                <c:ptCount val="1"/>
                <c:pt idx="0">
                  <c:v>2021</c:v>
                </c:pt>
              </c:strCache>
            </c:strRef>
          </c:tx>
          <c:spPr>
            <a:solidFill>
              <a:schemeClr val="accent3"/>
            </a:solidFill>
            <a:ln>
              <a:noFill/>
            </a:ln>
            <a:effectLst/>
          </c:spPr>
          <c:invertIfNegative val="0"/>
          <c:cat>
            <c:strRef>
              <c:f>'CALCULE ȘI GRAFICE PE 5 ANI'!$C$4:$J$4</c:f>
              <c:strCache>
                <c:ptCount val="8"/>
                <c:pt idx="0">
                  <c:v>B1</c:v>
                </c:pt>
                <c:pt idx="1">
                  <c:v>B2</c:v>
                </c:pt>
                <c:pt idx="2">
                  <c:v>B3</c:v>
                </c:pt>
                <c:pt idx="3">
                  <c:v>B4</c:v>
                </c:pt>
                <c:pt idx="4">
                  <c:v>B5</c:v>
                </c:pt>
                <c:pt idx="5">
                  <c:v>B6</c:v>
                </c:pt>
                <c:pt idx="6">
                  <c:v>B7</c:v>
                </c:pt>
                <c:pt idx="7">
                  <c:v>B8</c:v>
                </c:pt>
              </c:strCache>
            </c:strRef>
          </c:cat>
          <c:val>
            <c:numRef>
              <c:f>'CALCULE ȘI GRAFICE PE 5 ANI'!$C$44:$J$44</c:f>
              <c:numCache>
                <c:formatCode>#,##0.00</c:formatCode>
                <c:ptCount val="8"/>
                <c:pt idx="0">
                  <c:v>25.838925373134316</c:v>
                </c:pt>
                <c:pt idx="1">
                  <c:v>23.906607669616509</c:v>
                </c:pt>
                <c:pt idx="2">
                  <c:v>30.769939577039278</c:v>
                </c:pt>
                <c:pt idx="3">
                  <c:v>25.216122448979583</c:v>
                </c:pt>
                <c:pt idx="4">
                  <c:v>25.99725075528702</c:v>
                </c:pt>
                <c:pt idx="5">
                  <c:v>27.045865724381606</c:v>
                </c:pt>
                <c:pt idx="6">
                  <c:v>24.547236024844715</c:v>
                </c:pt>
                <c:pt idx="7">
                  <c:v>18.922195845697338</c:v>
                </c:pt>
              </c:numCache>
            </c:numRef>
          </c:val>
          <c:extLst>
            <c:ext xmlns:c16="http://schemas.microsoft.com/office/drawing/2014/chart" uri="{C3380CC4-5D6E-409C-BE32-E72D297353CC}">
              <c16:uniqueId val="{00000006-D94F-4089-9F96-C1DCBE4901F5}"/>
            </c:ext>
          </c:extLst>
        </c:ser>
        <c:ser>
          <c:idx val="3"/>
          <c:order val="3"/>
          <c:tx>
            <c:strRef>
              <c:f>'CALCULE ȘI GRAFICE PE 5 ANI'!$B$45</c:f>
              <c:strCache>
                <c:ptCount val="1"/>
                <c:pt idx="0">
                  <c:v>2022</c:v>
                </c:pt>
              </c:strCache>
            </c:strRef>
          </c:tx>
          <c:spPr>
            <a:solidFill>
              <a:schemeClr val="accent4"/>
            </a:solidFill>
            <a:ln>
              <a:noFill/>
            </a:ln>
            <a:effectLst/>
          </c:spPr>
          <c:invertIfNegative val="0"/>
          <c:dLbls>
            <c:dLbl>
              <c:idx val="7"/>
              <c:layout>
                <c:manualLayout>
                  <c:x val="2.5374270489723419E-3"/>
                  <c:y val="-7.840342124019961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94F-4089-9F96-C1DCBE4901F5}"/>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'CALCULE ȘI GRAFICE PE 5 ANI'!$C$4:$J$4</c:f>
              <c:strCache>
                <c:ptCount val="8"/>
                <c:pt idx="0">
                  <c:v>B1</c:v>
                </c:pt>
                <c:pt idx="1">
                  <c:v>B2</c:v>
                </c:pt>
                <c:pt idx="2">
                  <c:v>B3</c:v>
                </c:pt>
                <c:pt idx="3">
                  <c:v>B4</c:v>
                </c:pt>
                <c:pt idx="4">
                  <c:v>B5</c:v>
                </c:pt>
                <c:pt idx="5">
                  <c:v>B6</c:v>
                </c:pt>
                <c:pt idx="6">
                  <c:v>B7</c:v>
                </c:pt>
                <c:pt idx="7">
                  <c:v>B8</c:v>
                </c:pt>
              </c:strCache>
            </c:strRef>
          </c:cat>
          <c:val>
            <c:numRef>
              <c:f>'CALCULE ȘI GRAFICE PE 5 ANI'!$C$45:$J$45</c:f>
              <c:numCache>
                <c:formatCode>#,##0.00</c:formatCode>
                <c:ptCount val="8"/>
                <c:pt idx="0">
                  <c:v>25.116089743589725</c:v>
                </c:pt>
                <c:pt idx="1">
                  <c:v>23.374102564102564</c:v>
                </c:pt>
                <c:pt idx="2">
                  <c:v>30.010566666666666</c:v>
                </c:pt>
                <c:pt idx="3">
                  <c:v>24.856787709497205</c:v>
                </c:pt>
                <c:pt idx="4">
                  <c:v>24.987290969899664</c:v>
                </c:pt>
                <c:pt idx="5">
                  <c:v>26.450850439882686</c:v>
                </c:pt>
                <c:pt idx="6">
                  <c:v>27.907112676056339</c:v>
                </c:pt>
                <c:pt idx="7">
                  <c:v>17.888073089701006</c:v>
                </c:pt>
              </c:numCache>
            </c:numRef>
          </c:val>
          <c:extLst>
            <c:ext xmlns:c16="http://schemas.microsoft.com/office/drawing/2014/chart" uri="{C3380CC4-5D6E-409C-BE32-E72D297353CC}">
              <c16:uniqueId val="{00000008-D94F-4089-9F96-C1DCBE4901F5}"/>
            </c:ext>
          </c:extLst>
        </c:ser>
        <c:ser>
          <c:idx val="4"/>
          <c:order val="4"/>
          <c:tx>
            <c:strRef>
              <c:f>'CALCULE ȘI GRAFICE PE 5 ANI'!$B$46</c:f>
              <c:strCache>
                <c:ptCount val="1"/>
                <c:pt idx="0">
                  <c:v>2023
Annual limit value</c:v>
                </c:pt>
              </c:strCache>
            </c:strRef>
          </c:tx>
          <c:spPr>
            <a:solidFill>
              <a:schemeClr val="accent5"/>
            </a:solidFill>
            <a:ln>
              <a:noFill/>
            </a:ln>
            <a:effectLst/>
          </c:spPr>
          <c:invertIfNegative val="0"/>
          <c:dLbls>
            <c:dLbl>
              <c:idx val="2"/>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94F-4089-9F96-C1DCBE4901F5}"/>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'CALCULE ȘI GRAFICE PE 5 ANI'!$C$4:$J$4</c:f>
              <c:strCache>
                <c:ptCount val="8"/>
                <c:pt idx="0">
                  <c:v>B1</c:v>
                </c:pt>
                <c:pt idx="1">
                  <c:v>B2</c:v>
                </c:pt>
                <c:pt idx="2">
                  <c:v>B3</c:v>
                </c:pt>
                <c:pt idx="3">
                  <c:v>B4</c:v>
                </c:pt>
                <c:pt idx="4">
                  <c:v>B5</c:v>
                </c:pt>
                <c:pt idx="5">
                  <c:v>B6</c:v>
                </c:pt>
                <c:pt idx="6">
                  <c:v>B7</c:v>
                </c:pt>
                <c:pt idx="7">
                  <c:v>B8</c:v>
                </c:pt>
              </c:strCache>
            </c:strRef>
          </c:cat>
          <c:val>
            <c:numRef>
              <c:f>'CALCULE ȘI GRAFICE PE 5 ANI'!$C$46:$J$46</c:f>
              <c:numCache>
                <c:formatCode>#,##0.00</c:formatCode>
                <c:ptCount val="8"/>
                <c:pt idx="0">
                  <c:v>24.494849498327746</c:v>
                </c:pt>
                <c:pt idx="1">
                  <c:v>22.195722222222216</c:v>
                </c:pt>
                <c:pt idx="2">
                  <c:v>29.143135313531342</c:v>
                </c:pt>
                <c:pt idx="3">
                  <c:v>23.543660714285721</c:v>
                </c:pt>
                <c:pt idx="4">
                  <c:v>25.725231213872824</c:v>
                </c:pt>
                <c:pt idx="6">
                  <c:v>23.934125412541235</c:v>
                </c:pt>
                <c:pt idx="7">
                  <c:v>18.777325581395345</c:v>
                </c:pt>
              </c:numCache>
            </c:numRef>
          </c:val>
          <c:extLst>
            <c:ext xmlns:c16="http://schemas.microsoft.com/office/drawing/2014/chart" uri="{C3380CC4-5D6E-409C-BE32-E72D297353CC}">
              <c16:uniqueId val="{0000000A-D94F-4089-9F96-C1DCBE4901F5}"/>
            </c:ext>
          </c:extLst>
        </c:ser>
        <c:dLbls>
          <c:showLegendKey val="0"/>
          <c:showVal val="0"/>
          <c:showCatName val="0"/>
          <c:showSerName val="0"/>
          <c:showPercent val="0"/>
          <c:showBubbleSize val="0"/>
        </c:dLbls>
        <c:gapWidth val="219"/>
        <c:overlap val="-27"/>
        <c:axId val="594959040"/>
        <c:axId val="594959760"/>
      </c:barChart>
      <c:catAx>
        <c:axId val="594959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94959760"/>
        <c:crosses val="autoZero"/>
        <c:auto val="1"/>
        <c:lblAlgn val="ctr"/>
        <c:lblOffset val="100"/>
        <c:noMultiLvlLbl val="0"/>
      </c:catAx>
      <c:valAx>
        <c:axId val="594959760"/>
        <c:scaling>
          <c:orientation val="minMax"/>
          <c:max val="36"/>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µg/m³  </a:t>
                </a:r>
              </a:p>
            </c:rich>
          </c:tx>
          <c:layout>
            <c:manualLayout>
              <c:xMode val="edge"/>
              <c:yMode val="edge"/>
              <c:x val="1.9352292484758164E-2"/>
              <c:y val="0.3815909004079449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94959040"/>
        <c:crosses val="autoZero"/>
        <c:crossBetween val="between"/>
        <c:majorUnit val="7"/>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userShapes r:id="rId5"/>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a:t>PM</a:t>
            </a:r>
            <a:r>
              <a:rPr lang="en-US" sz="1000" baseline="-25000"/>
              <a:t>10</a:t>
            </a:r>
            <a:r>
              <a:rPr lang="ro-RO" sz="1000"/>
              <a:t> </a:t>
            </a:r>
            <a:r>
              <a:rPr lang="en-US" sz="1000"/>
              <a:t>-</a:t>
            </a:r>
            <a:r>
              <a:rPr lang="ro-RO" sz="1000"/>
              <a:t> </a:t>
            </a:r>
            <a:r>
              <a:rPr lang="en-US" sz="1000"/>
              <a:t>number of the exeedences of limit values </a:t>
            </a:r>
            <a:endParaRPr lang="ro-RO" sz="1000"/>
          </a:p>
          <a:p>
            <a:pPr>
              <a:defRPr sz="1000"/>
            </a:pPr>
            <a:r>
              <a:rPr lang="en-US" sz="1000"/>
              <a:t>Daily average</a:t>
            </a:r>
            <a:r>
              <a:rPr lang="ro-RO" sz="1000"/>
              <a:t> - 50 µg/m³</a:t>
            </a:r>
            <a:endParaRPr lang="en-US" sz="1000"/>
          </a:p>
        </c:rich>
      </c:tx>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o-RO"/>
        </a:p>
      </c:txPr>
    </c:title>
    <c:autoTitleDeleted val="0"/>
    <c:plotArea>
      <c:layout/>
      <c:barChart>
        <c:barDir val="col"/>
        <c:grouping val="clustered"/>
        <c:varyColors val="0"/>
        <c:ser>
          <c:idx val="0"/>
          <c:order val="0"/>
          <c:tx>
            <c:strRef>
              <c:f>'CALCULE ȘI GRAFICE PE 5 ANI'!$B$56</c:f>
              <c:strCache>
                <c:ptCount val="1"/>
                <c:pt idx="0">
                  <c:v>2019</c:v>
                </c:pt>
              </c:strCache>
            </c:strRef>
          </c:tx>
          <c:spPr>
            <a:solidFill>
              <a:schemeClr val="accent1"/>
            </a:solidFill>
            <a:ln>
              <a:noFill/>
            </a:ln>
            <a:effectLst/>
          </c:spPr>
          <c:invertIfNegative val="0"/>
          <c:dLbls>
            <c:dLbl>
              <c:idx val="2"/>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FF1-46FF-A7B9-0895D566B4D0}"/>
                </c:ext>
              </c:extLst>
            </c:dLbl>
            <c:dLbl>
              <c:idx val="5"/>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FF1-46FF-A7B9-0895D566B4D0}"/>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'CALCULE ȘI GRAFICE PE 5 ANI'!$C$4:$J$4</c:f>
              <c:strCache>
                <c:ptCount val="8"/>
                <c:pt idx="0">
                  <c:v>B1</c:v>
                </c:pt>
                <c:pt idx="1">
                  <c:v>B2</c:v>
                </c:pt>
                <c:pt idx="2">
                  <c:v>B3</c:v>
                </c:pt>
                <c:pt idx="3">
                  <c:v>B4</c:v>
                </c:pt>
                <c:pt idx="4">
                  <c:v>B5</c:v>
                </c:pt>
                <c:pt idx="5">
                  <c:v>B6</c:v>
                </c:pt>
                <c:pt idx="6">
                  <c:v>B7</c:v>
                </c:pt>
                <c:pt idx="7">
                  <c:v>B8</c:v>
                </c:pt>
              </c:strCache>
            </c:strRef>
          </c:cat>
          <c:val>
            <c:numRef>
              <c:f>'CALCULE ȘI GRAFICE PE 5 ANI'!$C$56:$J$56</c:f>
              <c:numCache>
                <c:formatCode>0</c:formatCode>
                <c:ptCount val="8"/>
                <c:pt idx="0">
                  <c:v>23</c:v>
                </c:pt>
                <c:pt idx="1">
                  <c:v>23</c:v>
                </c:pt>
                <c:pt idx="2">
                  <c:v>46</c:v>
                </c:pt>
                <c:pt idx="3">
                  <c:v>18</c:v>
                </c:pt>
                <c:pt idx="4">
                  <c:v>19</c:v>
                </c:pt>
                <c:pt idx="5">
                  <c:v>38</c:v>
                </c:pt>
                <c:pt idx="6">
                  <c:v>11</c:v>
                </c:pt>
                <c:pt idx="7">
                  <c:v>7</c:v>
                </c:pt>
              </c:numCache>
            </c:numRef>
          </c:val>
          <c:extLst>
            <c:ext xmlns:c16="http://schemas.microsoft.com/office/drawing/2014/chart" uri="{C3380CC4-5D6E-409C-BE32-E72D297353CC}">
              <c16:uniqueId val="{00000002-EFF1-46FF-A7B9-0895D566B4D0}"/>
            </c:ext>
          </c:extLst>
        </c:ser>
        <c:ser>
          <c:idx val="1"/>
          <c:order val="1"/>
          <c:tx>
            <c:strRef>
              <c:f>'CALCULE ȘI GRAFICE PE 5 ANI'!$B$57</c:f>
              <c:strCache>
                <c:ptCount val="1"/>
                <c:pt idx="0">
                  <c:v>2020</c:v>
                </c:pt>
              </c:strCache>
            </c:strRef>
          </c:tx>
          <c:spPr>
            <a:solidFill>
              <a:schemeClr val="accent2"/>
            </a:solidFill>
            <a:ln>
              <a:noFill/>
            </a:ln>
            <a:effectLst/>
          </c:spPr>
          <c:invertIfNegative val="0"/>
          <c:cat>
            <c:strRef>
              <c:f>'CALCULE ȘI GRAFICE PE 5 ANI'!$C$4:$J$4</c:f>
              <c:strCache>
                <c:ptCount val="8"/>
                <c:pt idx="0">
                  <c:v>B1</c:v>
                </c:pt>
                <c:pt idx="1">
                  <c:v>B2</c:v>
                </c:pt>
                <c:pt idx="2">
                  <c:v>B3</c:v>
                </c:pt>
                <c:pt idx="3">
                  <c:v>B4</c:v>
                </c:pt>
                <c:pt idx="4">
                  <c:v>B5</c:v>
                </c:pt>
                <c:pt idx="5">
                  <c:v>B6</c:v>
                </c:pt>
                <c:pt idx="6">
                  <c:v>B7</c:v>
                </c:pt>
                <c:pt idx="7">
                  <c:v>B8</c:v>
                </c:pt>
              </c:strCache>
            </c:strRef>
          </c:cat>
          <c:val>
            <c:numRef>
              <c:f>'CALCULE ȘI GRAFICE PE 5 ANI'!$C$57:$J$57</c:f>
              <c:numCache>
                <c:formatCode>0</c:formatCode>
                <c:ptCount val="8"/>
                <c:pt idx="0">
                  <c:v>21</c:v>
                </c:pt>
                <c:pt idx="1">
                  <c:v>16</c:v>
                </c:pt>
                <c:pt idx="2">
                  <c:v>21</c:v>
                </c:pt>
                <c:pt idx="3">
                  <c:v>14</c:v>
                </c:pt>
                <c:pt idx="4">
                  <c:v>20</c:v>
                </c:pt>
                <c:pt idx="5">
                  <c:v>20</c:v>
                </c:pt>
                <c:pt idx="6">
                  <c:v>6</c:v>
                </c:pt>
                <c:pt idx="7">
                  <c:v>10</c:v>
                </c:pt>
              </c:numCache>
            </c:numRef>
          </c:val>
          <c:extLst>
            <c:ext xmlns:c16="http://schemas.microsoft.com/office/drawing/2014/chart" uri="{C3380CC4-5D6E-409C-BE32-E72D297353CC}">
              <c16:uniqueId val="{00000003-EFF1-46FF-A7B9-0895D566B4D0}"/>
            </c:ext>
          </c:extLst>
        </c:ser>
        <c:ser>
          <c:idx val="2"/>
          <c:order val="2"/>
          <c:tx>
            <c:strRef>
              <c:f>'CALCULE ȘI GRAFICE PE 5 ANI'!$B$58</c:f>
              <c:strCache>
                <c:ptCount val="1"/>
                <c:pt idx="0">
                  <c:v>2021</c:v>
                </c:pt>
              </c:strCache>
            </c:strRef>
          </c:tx>
          <c:spPr>
            <a:solidFill>
              <a:schemeClr val="accent3"/>
            </a:solidFill>
            <a:ln>
              <a:noFill/>
            </a:ln>
            <a:effectLst/>
          </c:spPr>
          <c:invertIfNegative val="0"/>
          <c:cat>
            <c:strRef>
              <c:f>'CALCULE ȘI GRAFICE PE 5 ANI'!$C$4:$J$4</c:f>
              <c:strCache>
                <c:ptCount val="8"/>
                <c:pt idx="0">
                  <c:v>B1</c:v>
                </c:pt>
                <c:pt idx="1">
                  <c:v>B2</c:v>
                </c:pt>
                <c:pt idx="2">
                  <c:v>B3</c:v>
                </c:pt>
                <c:pt idx="3">
                  <c:v>B4</c:v>
                </c:pt>
                <c:pt idx="4">
                  <c:v>B5</c:v>
                </c:pt>
                <c:pt idx="5">
                  <c:v>B6</c:v>
                </c:pt>
                <c:pt idx="6">
                  <c:v>B7</c:v>
                </c:pt>
                <c:pt idx="7">
                  <c:v>B8</c:v>
                </c:pt>
              </c:strCache>
            </c:strRef>
          </c:cat>
          <c:val>
            <c:numRef>
              <c:f>'CALCULE ȘI GRAFICE PE 5 ANI'!$C$58:$J$58</c:f>
              <c:numCache>
                <c:formatCode>0</c:formatCode>
                <c:ptCount val="8"/>
                <c:pt idx="0">
                  <c:v>15</c:v>
                </c:pt>
                <c:pt idx="1">
                  <c:v>13</c:v>
                </c:pt>
                <c:pt idx="2">
                  <c:v>23</c:v>
                </c:pt>
                <c:pt idx="3">
                  <c:v>11</c:v>
                </c:pt>
                <c:pt idx="4">
                  <c:v>17</c:v>
                </c:pt>
                <c:pt idx="5">
                  <c:v>16</c:v>
                </c:pt>
                <c:pt idx="6">
                  <c:v>15</c:v>
                </c:pt>
                <c:pt idx="7">
                  <c:v>7</c:v>
                </c:pt>
              </c:numCache>
            </c:numRef>
          </c:val>
          <c:extLst>
            <c:ext xmlns:c16="http://schemas.microsoft.com/office/drawing/2014/chart" uri="{C3380CC4-5D6E-409C-BE32-E72D297353CC}">
              <c16:uniqueId val="{00000004-EFF1-46FF-A7B9-0895D566B4D0}"/>
            </c:ext>
          </c:extLst>
        </c:ser>
        <c:ser>
          <c:idx val="3"/>
          <c:order val="3"/>
          <c:tx>
            <c:strRef>
              <c:f>'CALCULE ȘI GRAFICE PE 5 ANI'!$B$59</c:f>
              <c:strCache>
                <c:ptCount val="1"/>
                <c:pt idx="0">
                  <c:v>2022</c:v>
                </c:pt>
              </c:strCache>
            </c:strRef>
          </c:tx>
          <c:spPr>
            <a:solidFill>
              <a:schemeClr val="accent4"/>
            </a:solidFill>
            <a:ln>
              <a:noFill/>
            </a:ln>
            <a:effectLst/>
          </c:spPr>
          <c:invertIfNegative val="0"/>
          <c:cat>
            <c:strRef>
              <c:f>'CALCULE ȘI GRAFICE PE 5 ANI'!$C$4:$J$4</c:f>
              <c:strCache>
                <c:ptCount val="8"/>
                <c:pt idx="0">
                  <c:v>B1</c:v>
                </c:pt>
                <c:pt idx="1">
                  <c:v>B2</c:v>
                </c:pt>
                <c:pt idx="2">
                  <c:v>B3</c:v>
                </c:pt>
                <c:pt idx="3">
                  <c:v>B4</c:v>
                </c:pt>
                <c:pt idx="4">
                  <c:v>B5</c:v>
                </c:pt>
                <c:pt idx="5">
                  <c:v>B6</c:v>
                </c:pt>
                <c:pt idx="6">
                  <c:v>B7</c:v>
                </c:pt>
                <c:pt idx="7">
                  <c:v>B8</c:v>
                </c:pt>
              </c:strCache>
            </c:strRef>
          </c:cat>
          <c:val>
            <c:numRef>
              <c:f>'CALCULE ȘI GRAFICE PE 5 ANI'!$C$59:$J$59</c:f>
              <c:numCache>
                <c:formatCode>0</c:formatCode>
                <c:ptCount val="8"/>
                <c:pt idx="0">
                  <c:v>19</c:v>
                </c:pt>
                <c:pt idx="1">
                  <c:v>13</c:v>
                </c:pt>
                <c:pt idx="2">
                  <c:v>22</c:v>
                </c:pt>
                <c:pt idx="3">
                  <c:v>15</c:v>
                </c:pt>
                <c:pt idx="4">
                  <c:v>20</c:v>
                </c:pt>
                <c:pt idx="5">
                  <c:v>9</c:v>
                </c:pt>
                <c:pt idx="6">
                  <c:v>20</c:v>
                </c:pt>
                <c:pt idx="7">
                  <c:v>5</c:v>
                </c:pt>
              </c:numCache>
            </c:numRef>
          </c:val>
          <c:extLst>
            <c:ext xmlns:c16="http://schemas.microsoft.com/office/drawing/2014/chart" uri="{C3380CC4-5D6E-409C-BE32-E72D297353CC}">
              <c16:uniqueId val="{00000005-EFF1-46FF-A7B9-0895D566B4D0}"/>
            </c:ext>
          </c:extLst>
        </c:ser>
        <c:ser>
          <c:idx val="4"/>
          <c:order val="4"/>
          <c:tx>
            <c:strRef>
              <c:f>'CALCULE ȘI GRAFICE PE 5 ANI'!$B$60</c:f>
              <c:strCache>
                <c:ptCount val="1"/>
                <c:pt idx="0">
                  <c:v>2023
Limit number of exceedances</c:v>
                </c:pt>
              </c:strCache>
            </c:strRef>
          </c:tx>
          <c:spPr>
            <a:solidFill>
              <a:schemeClr val="accent5"/>
            </a:solidFill>
            <a:ln>
              <a:noFill/>
            </a:ln>
            <a:effectLst/>
          </c:spPr>
          <c:invertIfNegative val="0"/>
          <c:cat>
            <c:strRef>
              <c:f>'CALCULE ȘI GRAFICE PE 5 ANI'!$C$4:$J$4</c:f>
              <c:strCache>
                <c:ptCount val="8"/>
                <c:pt idx="0">
                  <c:v>B1</c:v>
                </c:pt>
                <c:pt idx="1">
                  <c:v>B2</c:v>
                </c:pt>
                <c:pt idx="2">
                  <c:v>B3</c:v>
                </c:pt>
                <c:pt idx="3">
                  <c:v>B4</c:v>
                </c:pt>
                <c:pt idx="4">
                  <c:v>B5</c:v>
                </c:pt>
                <c:pt idx="5">
                  <c:v>B6</c:v>
                </c:pt>
                <c:pt idx="6">
                  <c:v>B7</c:v>
                </c:pt>
                <c:pt idx="7">
                  <c:v>B8</c:v>
                </c:pt>
              </c:strCache>
            </c:strRef>
          </c:cat>
          <c:val>
            <c:numRef>
              <c:f>'CALCULE ȘI GRAFICE PE 5 ANI'!$C$60:$J$60</c:f>
              <c:numCache>
                <c:formatCode>0</c:formatCode>
                <c:ptCount val="8"/>
                <c:pt idx="0">
                  <c:v>7</c:v>
                </c:pt>
                <c:pt idx="1">
                  <c:v>13</c:v>
                </c:pt>
                <c:pt idx="2">
                  <c:v>20</c:v>
                </c:pt>
                <c:pt idx="3">
                  <c:v>6</c:v>
                </c:pt>
                <c:pt idx="4">
                  <c:v>10</c:v>
                </c:pt>
                <c:pt idx="6">
                  <c:v>4</c:v>
                </c:pt>
                <c:pt idx="7">
                  <c:v>4</c:v>
                </c:pt>
              </c:numCache>
            </c:numRef>
          </c:val>
          <c:extLst>
            <c:ext xmlns:c16="http://schemas.microsoft.com/office/drawing/2014/chart" uri="{C3380CC4-5D6E-409C-BE32-E72D297353CC}">
              <c16:uniqueId val="{00000006-EFF1-46FF-A7B9-0895D566B4D0}"/>
            </c:ext>
          </c:extLst>
        </c:ser>
        <c:dLbls>
          <c:showLegendKey val="0"/>
          <c:showVal val="0"/>
          <c:showCatName val="0"/>
          <c:showSerName val="0"/>
          <c:showPercent val="0"/>
          <c:showBubbleSize val="0"/>
        </c:dLbls>
        <c:gapWidth val="219"/>
        <c:overlap val="-27"/>
        <c:axId val="594959040"/>
        <c:axId val="594959760"/>
      </c:barChart>
      <c:catAx>
        <c:axId val="594959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94959760"/>
        <c:crosses val="autoZero"/>
        <c:auto val="1"/>
        <c:lblAlgn val="ctr"/>
        <c:lblOffset val="100"/>
        <c:noMultiLvlLbl val="0"/>
      </c:catAx>
      <c:valAx>
        <c:axId val="594959760"/>
        <c:scaling>
          <c:orientation val="minMax"/>
          <c:max val="5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µg/m³  </a:t>
                </a:r>
              </a:p>
            </c:rich>
          </c:tx>
          <c:layout>
            <c:manualLayout>
              <c:xMode val="edge"/>
              <c:yMode val="edge"/>
              <c:x val="1.9352292484758164E-2"/>
              <c:y val="0.3815909004079449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94959040"/>
        <c:crosses val="autoZero"/>
        <c:crossBetween val="between"/>
        <c:majorUnit val="7"/>
      </c:valAx>
      <c:spPr>
        <a:noFill/>
        <a:ln>
          <a:noFill/>
        </a:ln>
        <a:effectLst/>
      </c:spPr>
    </c:plotArea>
    <c:legend>
      <c:legendPos val="b"/>
      <c:overlay val="0"/>
      <c:spPr>
        <a:noFill/>
        <a:ln>
          <a:noFill/>
        </a:ln>
        <a:effectLst/>
      </c:spPr>
      <c:txPr>
        <a:bodyPr rot="0" spcFirstLastPara="1" vertOverflow="ellipsis" vert="horz" wrap="square" anchor="ctr" anchorCtr="1"/>
        <a:lstStyle/>
        <a:p>
          <a:pPr>
            <a:spcBef>
              <a:spcPts val="600"/>
            </a:spcBef>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userShapes r:id="rId5"/>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4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a:solidFill>
                  <a:sysClr val="windowText" lastClr="000000"/>
                </a:solidFill>
                <a:latin typeface="Times New Roman" panose="02020603050405020304" pitchFamily="18" charset="0"/>
                <a:cs typeface="Times New Roman" panose="02020603050405020304" pitchFamily="18" charset="0"/>
              </a:rPr>
              <a:t>PM</a:t>
            </a:r>
            <a:r>
              <a:rPr lang="en-US" sz="1000" baseline="-25000">
                <a:solidFill>
                  <a:sysClr val="windowText" lastClr="000000"/>
                </a:solidFill>
                <a:latin typeface="Times New Roman" panose="02020603050405020304" pitchFamily="18" charset="0"/>
                <a:cs typeface="Times New Roman" panose="02020603050405020304" pitchFamily="18" charset="0"/>
              </a:rPr>
              <a:t>10</a:t>
            </a:r>
            <a:r>
              <a:rPr lang="ro-RO" sz="1000">
                <a:solidFill>
                  <a:sysClr val="windowText" lastClr="000000"/>
                </a:solidFill>
                <a:latin typeface="Times New Roman" panose="02020603050405020304" pitchFamily="18" charset="0"/>
                <a:cs typeface="Times New Roman" panose="02020603050405020304" pitchFamily="18" charset="0"/>
              </a:rPr>
              <a:t> - </a:t>
            </a:r>
            <a:r>
              <a:rPr lang="en-US" sz="1000">
                <a:solidFill>
                  <a:sysClr val="windowText" lastClr="000000"/>
                </a:solidFill>
                <a:latin typeface="Times New Roman" panose="02020603050405020304" pitchFamily="18" charset="0"/>
                <a:cs typeface="Times New Roman" panose="02020603050405020304" pitchFamily="18" charset="0"/>
              </a:rPr>
              <a:t>Annaul limit value - 40 µg/m³</a:t>
            </a:r>
            <a:r>
              <a:rPr lang="ro-RO" sz="1000" baseline="0">
                <a:solidFill>
                  <a:sysClr val="windowText" lastClr="000000"/>
                </a:solidFill>
                <a:latin typeface="Times New Roman" panose="02020603050405020304" pitchFamily="18" charset="0"/>
                <a:cs typeface="Times New Roman" panose="02020603050405020304" pitchFamily="18" charset="0"/>
              </a:rPr>
              <a:t> - </a:t>
            </a:r>
            <a:r>
              <a:rPr lang="en-US" sz="1000">
                <a:solidFill>
                  <a:sysClr val="windowText" lastClr="000000"/>
                </a:solidFill>
                <a:latin typeface="Times New Roman" panose="02020603050405020304" pitchFamily="18" charset="0"/>
                <a:cs typeface="Times New Roman" panose="02020603050405020304" pitchFamily="18" charset="0"/>
              </a:rPr>
              <a:t>Annual</a:t>
            </a:r>
            <a:r>
              <a:rPr lang="en-US" sz="1000" baseline="0">
                <a:solidFill>
                  <a:sysClr val="windowText" lastClr="000000"/>
                </a:solidFill>
                <a:latin typeface="Times New Roman" panose="02020603050405020304" pitchFamily="18" charset="0"/>
                <a:cs typeface="Times New Roman" panose="02020603050405020304" pitchFamily="18" charset="0"/>
              </a:rPr>
              <a:t> average</a:t>
            </a:r>
            <a:r>
              <a:rPr lang="en-US" sz="1000">
                <a:solidFill>
                  <a:sysClr val="windowText" lastClr="000000"/>
                </a:solidFill>
                <a:latin typeface="Times New Roman" panose="02020603050405020304" pitchFamily="18" charset="0"/>
                <a:cs typeface="Times New Roman" panose="02020603050405020304" pitchFamily="18" charset="0"/>
              </a:rPr>
              <a:t> </a:t>
            </a:r>
          </a:p>
        </c:rich>
      </c:tx>
      <c:overlay val="0"/>
      <c:spPr>
        <a:noFill/>
        <a:ln>
          <a:noFill/>
        </a:ln>
        <a:effectLst/>
      </c:spPr>
      <c:txPr>
        <a:bodyPr rot="0" spcFirstLastPara="1" vertOverflow="ellipsis" vert="horz" wrap="square" anchor="ctr" anchorCtr="1"/>
        <a:lstStyle/>
        <a:p>
          <a:pPr>
            <a:defRPr sz="144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o-RO"/>
        </a:p>
      </c:txPr>
    </c:title>
    <c:autoTitleDeleted val="0"/>
    <c:plotArea>
      <c:layout>
        <c:manualLayout>
          <c:layoutTarget val="inner"/>
          <c:xMode val="edge"/>
          <c:yMode val="edge"/>
          <c:x val="0.15249074741051691"/>
          <c:y val="0.23154215814766274"/>
          <c:w val="0.81859232304163876"/>
          <c:h val="0.44232498460628195"/>
        </c:manualLayout>
      </c:layout>
      <c:barChart>
        <c:barDir val="col"/>
        <c:grouping val="clustered"/>
        <c:varyColors val="0"/>
        <c:ser>
          <c:idx val="0"/>
          <c:order val="0"/>
          <c:tx>
            <c:strRef>
              <c:f>'CALCULE ȘI GRAFICE PE 5 ANI'!$B$72</c:f>
              <c:strCache>
                <c:ptCount val="1"/>
                <c:pt idx="0">
                  <c:v>2019</c:v>
                </c:pt>
              </c:strCache>
            </c:strRef>
          </c:tx>
          <c:spPr>
            <a:solidFill>
              <a:schemeClr val="accent1"/>
            </a:solidFill>
            <a:ln>
              <a:noFill/>
            </a:ln>
            <a:effectLst/>
          </c:spPr>
          <c:invertIfNegative val="0"/>
          <c:cat>
            <c:strRef>
              <c:f>'CALCULE ȘI GRAFICE PE 5 ANI'!$C$4:$J$4</c:f>
              <c:strCache>
                <c:ptCount val="8"/>
                <c:pt idx="0">
                  <c:v>B1</c:v>
                </c:pt>
                <c:pt idx="1">
                  <c:v>B2</c:v>
                </c:pt>
                <c:pt idx="2">
                  <c:v>B3</c:v>
                </c:pt>
                <c:pt idx="3">
                  <c:v>B4</c:v>
                </c:pt>
                <c:pt idx="4">
                  <c:v>B5</c:v>
                </c:pt>
                <c:pt idx="5">
                  <c:v>B6</c:v>
                </c:pt>
                <c:pt idx="6">
                  <c:v>B7</c:v>
                </c:pt>
                <c:pt idx="7">
                  <c:v>B8</c:v>
                </c:pt>
              </c:strCache>
            </c:strRef>
          </c:cat>
          <c:val>
            <c:numRef>
              <c:f>'CALCULE ȘI GRAFICE PE 5 ANI'!$C$72:$J$72</c:f>
              <c:numCache>
                <c:formatCode>#,##0.00</c:formatCode>
                <c:ptCount val="8"/>
                <c:pt idx="0">
                  <c:v>28.812187500000011</c:v>
                </c:pt>
                <c:pt idx="1">
                  <c:v>26.754135802469129</c:v>
                </c:pt>
                <c:pt idx="2">
                  <c:v>35.6907142857143</c:v>
                </c:pt>
                <c:pt idx="3">
                  <c:v>27.687407407407413</c:v>
                </c:pt>
                <c:pt idx="4">
                  <c:v>30.035523465703978</c:v>
                </c:pt>
                <c:pt idx="5">
                  <c:v>34.406123076923045</c:v>
                </c:pt>
                <c:pt idx="6">
                  <c:v>26.69653846153847</c:v>
                </c:pt>
                <c:pt idx="7">
                  <c:v>21.326986754966867</c:v>
                </c:pt>
              </c:numCache>
            </c:numRef>
          </c:val>
          <c:extLst>
            <c:ext xmlns:c16="http://schemas.microsoft.com/office/drawing/2014/chart" uri="{C3380CC4-5D6E-409C-BE32-E72D297353CC}">
              <c16:uniqueId val="{00000000-BB49-44C3-AFA3-8C3C682DCD65}"/>
            </c:ext>
          </c:extLst>
        </c:ser>
        <c:ser>
          <c:idx val="1"/>
          <c:order val="1"/>
          <c:tx>
            <c:strRef>
              <c:f>'CALCULE ȘI GRAFICE PE 5 ANI'!$B$73</c:f>
              <c:strCache>
                <c:ptCount val="1"/>
                <c:pt idx="0">
                  <c:v>2020</c:v>
                </c:pt>
              </c:strCache>
            </c:strRef>
          </c:tx>
          <c:spPr>
            <a:solidFill>
              <a:schemeClr val="accent2"/>
            </a:solidFill>
            <a:ln>
              <a:noFill/>
            </a:ln>
            <a:effectLst/>
          </c:spPr>
          <c:invertIfNegative val="0"/>
          <c:cat>
            <c:strRef>
              <c:f>'CALCULE ȘI GRAFICE PE 5 ANI'!$C$4:$J$4</c:f>
              <c:strCache>
                <c:ptCount val="8"/>
                <c:pt idx="0">
                  <c:v>B1</c:v>
                </c:pt>
                <c:pt idx="1">
                  <c:v>B2</c:v>
                </c:pt>
                <c:pt idx="2">
                  <c:v>B3</c:v>
                </c:pt>
                <c:pt idx="3">
                  <c:v>B4</c:v>
                </c:pt>
                <c:pt idx="4">
                  <c:v>B5</c:v>
                </c:pt>
                <c:pt idx="5">
                  <c:v>B6</c:v>
                </c:pt>
                <c:pt idx="6">
                  <c:v>B7</c:v>
                </c:pt>
                <c:pt idx="7">
                  <c:v>B8</c:v>
                </c:pt>
              </c:strCache>
            </c:strRef>
          </c:cat>
          <c:val>
            <c:numRef>
              <c:f>'CALCULE ȘI GRAFICE PE 5 ANI'!$C$73:$J$73</c:f>
              <c:numCache>
                <c:formatCode>#,##0.00</c:formatCode>
                <c:ptCount val="8"/>
                <c:pt idx="0">
                  <c:v>29.208143322475546</c:v>
                </c:pt>
                <c:pt idx="1">
                  <c:v>24.352344827586201</c:v>
                </c:pt>
                <c:pt idx="2">
                  <c:v>32.198153846153851</c:v>
                </c:pt>
                <c:pt idx="3">
                  <c:v>26.49426229508196</c:v>
                </c:pt>
                <c:pt idx="4">
                  <c:v>27.25257142857145</c:v>
                </c:pt>
                <c:pt idx="5">
                  <c:v>28.87483483483485</c:v>
                </c:pt>
                <c:pt idx="6">
                  <c:v>23.891754966887408</c:v>
                </c:pt>
                <c:pt idx="7">
                  <c:v>19.643463855421675</c:v>
                </c:pt>
              </c:numCache>
            </c:numRef>
          </c:val>
          <c:extLst>
            <c:ext xmlns:c16="http://schemas.microsoft.com/office/drawing/2014/chart" uri="{C3380CC4-5D6E-409C-BE32-E72D297353CC}">
              <c16:uniqueId val="{00000001-BB49-44C3-AFA3-8C3C682DCD65}"/>
            </c:ext>
          </c:extLst>
        </c:ser>
        <c:ser>
          <c:idx val="2"/>
          <c:order val="2"/>
          <c:tx>
            <c:strRef>
              <c:f>'CALCULE ȘI GRAFICE PE 5 ANI'!$B$74</c:f>
              <c:strCache>
                <c:ptCount val="1"/>
                <c:pt idx="0">
                  <c:v>2021</c:v>
                </c:pt>
              </c:strCache>
            </c:strRef>
          </c:tx>
          <c:spPr>
            <a:solidFill>
              <a:schemeClr val="accent3"/>
            </a:solidFill>
            <a:ln>
              <a:noFill/>
            </a:ln>
            <a:effectLst/>
          </c:spPr>
          <c:invertIfNegative val="0"/>
          <c:cat>
            <c:strRef>
              <c:f>'CALCULE ȘI GRAFICE PE 5 ANI'!$C$4:$J$4</c:f>
              <c:strCache>
                <c:ptCount val="8"/>
                <c:pt idx="0">
                  <c:v>B1</c:v>
                </c:pt>
                <c:pt idx="1">
                  <c:v>B2</c:v>
                </c:pt>
                <c:pt idx="2">
                  <c:v>B3</c:v>
                </c:pt>
                <c:pt idx="3">
                  <c:v>B4</c:v>
                </c:pt>
                <c:pt idx="4">
                  <c:v>B5</c:v>
                </c:pt>
                <c:pt idx="5">
                  <c:v>B6</c:v>
                </c:pt>
                <c:pt idx="6">
                  <c:v>B7</c:v>
                </c:pt>
                <c:pt idx="7">
                  <c:v>B8</c:v>
                </c:pt>
              </c:strCache>
            </c:strRef>
          </c:cat>
          <c:val>
            <c:numRef>
              <c:f>'CALCULE ȘI GRAFICE PE 5 ANI'!$C$74:$J$74</c:f>
              <c:numCache>
                <c:formatCode>#,##0.00</c:formatCode>
                <c:ptCount val="8"/>
                <c:pt idx="0">
                  <c:v>25.838925373134316</c:v>
                </c:pt>
                <c:pt idx="1">
                  <c:v>23.906607669616509</c:v>
                </c:pt>
                <c:pt idx="2">
                  <c:v>30.769939577039278</c:v>
                </c:pt>
                <c:pt idx="3">
                  <c:v>25.216122448979583</c:v>
                </c:pt>
                <c:pt idx="4">
                  <c:v>25.99725075528702</c:v>
                </c:pt>
                <c:pt idx="5">
                  <c:v>27.045865724381606</c:v>
                </c:pt>
                <c:pt idx="6">
                  <c:v>24.547236024844715</c:v>
                </c:pt>
                <c:pt idx="7">
                  <c:v>18.922195845697338</c:v>
                </c:pt>
              </c:numCache>
            </c:numRef>
          </c:val>
          <c:extLst>
            <c:ext xmlns:c16="http://schemas.microsoft.com/office/drawing/2014/chart" uri="{C3380CC4-5D6E-409C-BE32-E72D297353CC}">
              <c16:uniqueId val="{00000002-BB49-44C3-AFA3-8C3C682DCD65}"/>
            </c:ext>
          </c:extLst>
        </c:ser>
        <c:ser>
          <c:idx val="3"/>
          <c:order val="3"/>
          <c:tx>
            <c:strRef>
              <c:f>'CALCULE ȘI GRAFICE PE 5 ANI'!$B$75</c:f>
              <c:strCache>
                <c:ptCount val="1"/>
                <c:pt idx="0">
                  <c:v>2022</c:v>
                </c:pt>
              </c:strCache>
            </c:strRef>
          </c:tx>
          <c:spPr>
            <a:solidFill>
              <a:schemeClr val="accent4"/>
            </a:solidFill>
            <a:ln>
              <a:noFill/>
            </a:ln>
            <a:effectLst/>
          </c:spPr>
          <c:invertIfNegative val="0"/>
          <c:cat>
            <c:strRef>
              <c:f>'CALCULE ȘI GRAFICE PE 5 ANI'!$C$4:$J$4</c:f>
              <c:strCache>
                <c:ptCount val="8"/>
                <c:pt idx="0">
                  <c:v>B1</c:v>
                </c:pt>
                <c:pt idx="1">
                  <c:v>B2</c:v>
                </c:pt>
                <c:pt idx="2">
                  <c:v>B3</c:v>
                </c:pt>
                <c:pt idx="3">
                  <c:v>B4</c:v>
                </c:pt>
                <c:pt idx="4">
                  <c:v>B5</c:v>
                </c:pt>
                <c:pt idx="5">
                  <c:v>B6</c:v>
                </c:pt>
                <c:pt idx="6">
                  <c:v>B7</c:v>
                </c:pt>
                <c:pt idx="7">
                  <c:v>B8</c:v>
                </c:pt>
              </c:strCache>
            </c:strRef>
          </c:cat>
          <c:val>
            <c:numRef>
              <c:f>'CALCULE ȘI GRAFICE PE 5 ANI'!$C$75:$J$75</c:f>
              <c:numCache>
                <c:formatCode>#,##0.00</c:formatCode>
                <c:ptCount val="8"/>
                <c:pt idx="0">
                  <c:v>25.116089743589725</c:v>
                </c:pt>
                <c:pt idx="1">
                  <c:v>23.374102564102564</c:v>
                </c:pt>
                <c:pt idx="2">
                  <c:v>30.010566666666666</c:v>
                </c:pt>
                <c:pt idx="3">
                  <c:v>24.856787709497205</c:v>
                </c:pt>
                <c:pt idx="4">
                  <c:v>24.987290969899664</c:v>
                </c:pt>
                <c:pt idx="5">
                  <c:v>26.450850439882686</c:v>
                </c:pt>
                <c:pt idx="6">
                  <c:v>27.907112676056339</c:v>
                </c:pt>
                <c:pt idx="7">
                  <c:v>17.888073089701006</c:v>
                </c:pt>
              </c:numCache>
            </c:numRef>
          </c:val>
          <c:extLst>
            <c:ext xmlns:c16="http://schemas.microsoft.com/office/drawing/2014/chart" uri="{C3380CC4-5D6E-409C-BE32-E72D297353CC}">
              <c16:uniqueId val="{00000003-BB49-44C3-AFA3-8C3C682DCD65}"/>
            </c:ext>
          </c:extLst>
        </c:ser>
        <c:ser>
          <c:idx val="4"/>
          <c:order val="4"/>
          <c:tx>
            <c:strRef>
              <c:f>'CALCULE ȘI GRAFICE PE 5 ANI'!$B$76</c:f>
              <c:strCache>
                <c:ptCount val="1"/>
                <c:pt idx="0">
                  <c:v>2023</c:v>
                </c:pt>
              </c:strCache>
            </c:strRef>
          </c:tx>
          <c:spPr>
            <a:solidFill>
              <a:schemeClr val="accent5"/>
            </a:solidFill>
            <a:ln>
              <a:noFill/>
            </a:ln>
            <a:effectLst/>
          </c:spPr>
          <c:invertIfNegative val="0"/>
          <c:cat>
            <c:strRef>
              <c:f>'CALCULE ȘI GRAFICE PE 5 ANI'!$C$4:$J$4</c:f>
              <c:strCache>
                <c:ptCount val="8"/>
                <c:pt idx="0">
                  <c:v>B1</c:v>
                </c:pt>
                <c:pt idx="1">
                  <c:v>B2</c:v>
                </c:pt>
                <c:pt idx="2">
                  <c:v>B3</c:v>
                </c:pt>
                <c:pt idx="3">
                  <c:v>B4</c:v>
                </c:pt>
                <c:pt idx="4">
                  <c:v>B5</c:v>
                </c:pt>
                <c:pt idx="5">
                  <c:v>B6</c:v>
                </c:pt>
                <c:pt idx="6">
                  <c:v>B7</c:v>
                </c:pt>
                <c:pt idx="7">
                  <c:v>B8</c:v>
                </c:pt>
              </c:strCache>
            </c:strRef>
          </c:cat>
          <c:val>
            <c:numRef>
              <c:f>'CALCULE ȘI GRAFICE PE 5 ANI'!$C$76:$J$76</c:f>
              <c:numCache>
                <c:formatCode>#,##0.00</c:formatCode>
                <c:ptCount val="8"/>
                <c:pt idx="0">
                  <c:v>24.494849498327746</c:v>
                </c:pt>
                <c:pt idx="1">
                  <c:v>22.195722222222216</c:v>
                </c:pt>
                <c:pt idx="2">
                  <c:v>29.143135313531342</c:v>
                </c:pt>
                <c:pt idx="3">
                  <c:v>23.543660714285721</c:v>
                </c:pt>
                <c:pt idx="4">
                  <c:v>25.725231213872824</c:v>
                </c:pt>
                <c:pt idx="6">
                  <c:v>23.934125412541235</c:v>
                </c:pt>
                <c:pt idx="7">
                  <c:v>18.777325581395345</c:v>
                </c:pt>
              </c:numCache>
            </c:numRef>
          </c:val>
          <c:extLst>
            <c:ext xmlns:c16="http://schemas.microsoft.com/office/drawing/2014/chart" uri="{C3380CC4-5D6E-409C-BE32-E72D297353CC}">
              <c16:uniqueId val="{00000004-BB49-44C3-AFA3-8C3C682DCD65}"/>
            </c:ext>
          </c:extLst>
        </c:ser>
        <c:dLbls>
          <c:showLegendKey val="0"/>
          <c:showVal val="0"/>
          <c:showCatName val="0"/>
          <c:showSerName val="0"/>
          <c:showPercent val="0"/>
          <c:showBubbleSize val="0"/>
        </c:dLbls>
        <c:gapWidth val="219"/>
        <c:overlap val="-27"/>
        <c:axId val="594959040"/>
        <c:axId val="594959760"/>
      </c:barChart>
      <c:catAx>
        <c:axId val="594959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94959760"/>
        <c:crosses val="autoZero"/>
        <c:auto val="1"/>
        <c:lblAlgn val="ctr"/>
        <c:lblOffset val="100"/>
        <c:noMultiLvlLbl val="0"/>
      </c:catAx>
      <c:valAx>
        <c:axId val="594959760"/>
        <c:scaling>
          <c:orientation val="minMax"/>
          <c:max val="5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a:t>µg/m³  </a:t>
                </a:r>
              </a:p>
            </c:rich>
          </c:tx>
          <c:layout>
            <c:manualLayout>
              <c:xMode val="edge"/>
              <c:yMode val="edge"/>
              <c:x val="1.9352292484758164E-2"/>
              <c:y val="0.3815909004079449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94959040"/>
        <c:crosses val="autoZero"/>
        <c:crossBetween val="between"/>
        <c:majorUnit val="10"/>
      </c:valAx>
      <c:spPr>
        <a:noFill/>
        <a:ln>
          <a:noFill/>
        </a:ln>
        <a:effectLst/>
      </c:spPr>
    </c:plotArea>
    <c:legend>
      <c:legendPos val="b"/>
      <c:layout>
        <c:manualLayout>
          <c:xMode val="edge"/>
          <c:yMode val="edge"/>
          <c:x val="0.26366340445614644"/>
          <c:y val="0.85643560609969627"/>
          <c:w val="0.47267319108770711"/>
          <c:h val="0.13979541185287561"/>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0.43671</cdr:x>
      <cdr:y>0.8907</cdr:y>
    </cdr:from>
    <cdr:to>
      <cdr:x>0.47242</cdr:x>
      <cdr:y>0.8907</cdr:y>
    </cdr:to>
    <cdr:cxnSp macro="">
      <cdr:nvCxnSpPr>
        <cdr:cNvPr id="3" name="Straight Connector 2">
          <a:extLst xmlns:a="http://schemas.openxmlformats.org/drawingml/2006/main">
            <a:ext uri="{FF2B5EF4-FFF2-40B4-BE49-F238E27FC236}">
              <a16:creationId xmlns:a16="http://schemas.microsoft.com/office/drawing/2014/main" id="{BC5EFF41-4465-D9FF-42A5-499AC7EE4E05}"/>
            </a:ext>
          </a:extLst>
        </cdr:cNvPr>
        <cdr:cNvCxnSpPr/>
      </cdr:nvCxnSpPr>
      <cdr:spPr>
        <a:xfrm xmlns:a="http://schemas.openxmlformats.org/drawingml/2006/main">
          <a:off x="2185764" y="1411731"/>
          <a:ext cx="178731" cy="0"/>
        </a:xfrm>
        <a:prstGeom xmlns:a="http://schemas.openxmlformats.org/drawingml/2006/main" prst="line">
          <a:avLst/>
        </a:prstGeom>
      </cdr:spPr>
      <cdr:style>
        <a:lnRef xmlns:a="http://schemas.openxmlformats.org/drawingml/2006/main" idx="3">
          <a:schemeClr val="accent6"/>
        </a:lnRef>
        <a:fillRef xmlns:a="http://schemas.openxmlformats.org/drawingml/2006/main" idx="0">
          <a:schemeClr val="accent6"/>
        </a:fillRef>
        <a:effectRef xmlns:a="http://schemas.openxmlformats.org/drawingml/2006/main" idx="2">
          <a:schemeClr val="accent6"/>
        </a:effectRef>
        <a:fontRef xmlns:a="http://schemas.openxmlformats.org/drawingml/2006/main" idx="minor">
          <a:schemeClr val="tx1"/>
        </a:fontRef>
      </cdr:style>
    </cdr:cxnSp>
  </cdr:relSizeAnchor>
  <cdr:relSizeAnchor xmlns:cdr="http://schemas.openxmlformats.org/drawingml/2006/chartDrawing">
    <cdr:from>
      <cdr:x>0.10779</cdr:x>
      <cdr:y>0.52273</cdr:y>
    </cdr:from>
    <cdr:to>
      <cdr:x>0.97437</cdr:x>
      <cdr:y>0.52273</cdr:y>
    </cdr:to>
    <cdr:cxnSp macro="">
      <cdr:nvCxnSpPr>
        <cdr:cNvPr id="6" name="Straight Connector 5"/>
        <cdr:cNvCxnSpPr/>
      </cdr:nvCxnSpPr>
      <cdr:spPr>
        <a:xfrm xmlns:a="http://schemas.openxmlformats.org/drawingml/2006/main">
          <a:off x="539510" y="828510"/>
          <a:ext cx="4337290" cy="0"/>
        </a:xfrm>
        <a:prstGeom xmlns:a="http://schemas.openxmlformats.org/drawingml/2006/main" prst="line">
          <a:avLst/>
        </a:prstGeom>
      </cdr:spPr>
      <cdr:style>
        <a:lnRef xmlns:a="http://schemas.openxmlformats.org/drawingml/2006/main" idx="3">
          <a:schemeClr val="accent6"/>
        </a:lnRef>
        <a:fillRef xmlns:a="http://schemas.openxmlformats.org/drawingml/2006/main" idx="0">
          <a:schemeClr val="accent6"/>
        </a:fillRef>
        <a:effectRef xmlns:a="http://schemas.openxmlformats.org/drawingml/2006/main" idx="2">
          <a:schemeClr val="accent6"/>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0.54885</cdr:x>
      <cdr:y>0.90171</cdr:y>
    </cdr:from>
    <cdr:to>
      <cdr:x>0.59479</cdr:x>
      <cdr:y>0.90171</cdr:y>
    </cdr:to>
    <cdr:cxnSp macro="">
      <cdr:nvCxnSpPr>
        <cdr:cNvPr id="3" name="Straight Connector 2">
          <a:extLst xmlns:a="http://schemas.openxmlformats.org/drawingml/2006/main">
            <a:ext uri="{FF2B5EF4-FFF2-40B4-BE49-F238E27FC236}">
              <a16:creationId xmlns:a16="http://schemas.microsoft.com/office/drawing/2014/main" id="{BC5EFF41-4465-D9FF-42A5-499AC7EE4E05}"/>
            </a:ext>
          </a:extLst>
        </cdr:cNvPr>
        <cdr:cNvCxnSpPr/>
      </cdr:nvCxnSpPr>
      <cdr:spPr>
        <a:xfrm xmlns:a="http://schemas.openxmlformats.org/drawingml/2006/main">
          <a:off x="2668952" y="1594083"/>
          <a:ext cx="223398" cy="0"/>
        </a:xfrm>
        <a:prstGeom xmlns:a="http://schemas.openxmlformats.org/drawingml/2006/main" prst="line">
          <a:avLst/>
        </a:prstGeom>
      </cdr:spPr>
      <cdr:style>
        <a:lnRef xmlns:a="http://schemas.openxmlformats.org/drawingml/2006/main" idx="3">
          <a:schemeClr val="accent6"/>
        </a:lnRef>
        <a:fillRef xmlns:a="http://schemas.openxmlformats.org/drawingml/2006/main" idx="0">
          <a:schemeClr val="accent6"/>
        </a:fillRef>
        <a:effectRef xmlns:a="http://schemas.openxmlformats.org/drawingml/2006/main" idx="2">
          <a:schemeClr val="accent6"/>
        </a:effectRef>
        <a:fontRef xmlns:a="http://schemas.openxmlformats.org/drawingml/2006/main" idx="minor">
          <a:schemeClr val="tx1"/>
        </a:fontRef>
      </cdr:style>
    </cdr:cxnSp>
  </cdr:relSizeAnchor>
  <cdr:relSizeAnchor xmlns:cdr="http://schemas.openxmlformats.org/drawingml/2006/chartDrawing">
    <cdr:from>
      <cdr:x>0.14245</cdr:x>
      <cdr:y>0.45483</cdr:y>
    </cdr:from>
    <cdr:to>
      <cdr:x>0.96944</cdr:x>
      <cdr:y>0.45483</cdr:y>
    </cdr:to>
    <cdr:cxnSp macro="">
      <cdr:nvCxnSpPr>
        <cdr:cNvPr id="5" name="Straight Connector 4">
          <a:extLst xmlns:a="http://schemas.openxmlformats.org/drawingml/2006/main">
            <a:ext uri="{FF2B5EF4-FFF2-40B4-BE49-F238E27FC236}">
              <a16:creationId xmlns:a16="http://schemas.microsoft.com/office/drawing/2014/main" id="{B58FCE69-6368-B9BB-4EDB-4560D1D9E119}"/>
            </a:ext>
          </a:extLst>
        </cdr:cNvPr>
        <cdr:cNvCxnSpPr/>
      </cdr:nvCxnSpPr>
      <cdr:spPr>
        <a:xfrm xmlns:a="http://schemas.openxmlformats.org/drawingml/2006/main">
          <a:off x="692717" y="875690"/>
          <a:ext cx="4021523" cy="0"/>
        </a:xfrm>
        <a:prstGeom xmlns:a="http://schemas.openxmlformats.org/drawingml/2006/main" prst="line">
          <a:avLst/>
        </a:prstGeom>
      </cdr:spPr>
      <cdr:style>
        <a:lnRef xmlns:a="http://schemas.openxmlformats.org/drawingml/2006/main" idx="3">
          <a:schemeClr val="accent6"/>
        </a:lnRef>
        <a:fillRef xmlns:a="http://schemas.openxmlformats.org/drawingml/2006/main" idx="0">
          <a:schemeClr val="accent6"/>
        </a:fillRef>
        <a:effectRef xmlns:a="http://schemas.openxmlformats.org/drawingml/2006/main" idx="2">
          <a:schemeClr val="accent6"/>
        </a:effectRef>
        <a:fontRef xmlns:a="http://schemas.openxmlformats.org/drawingml/2006/main" idx="minor">
          <a:schemeClr val="tx1"/>
        </a:fontRef>
      </cdr:style>
    </cdr:cxnSp>
  </cdr:relSizeAnchor>
</c:userShapes>
</file>

<file path=word/drawings/drawing3.xml><?xml version="1.0" encoding="utf-8"?>
<c:userShapes xmlns:c="http://schemas.openxmlformats.org/drawingml/2006/chart">
  <cdr:relSizeAnchor xmlns:cdr="http://schemas.openxmlformats.org/drawingml/2006/chartDrawing">
    <cdr:from>
      <cdr:x>0.48117</cdr:x>
      <cdr:y>0.89278</cdr:y>
    </cdr:from>
    <cdr:to>
      <cdr:x>0.52711</cdr:x>
      <cdr:y>0.89278</cdr:y>
    </cdr:to>
    <cdr:cxnSp macro="">
      <cdr:nvCxnSpPr>
        <cdr:cNvPr id="3" name="Straight Connector 2">
          <a:extLst xmlns:a="http://schemas.openxmlformats.org/drawingml/2006/main">
            <a:ext uri="{FF2B5EF4-FFF2-40B4-BE49-F238E27FC236}">
              <a16:creationId xmlns:a16="http://schemas.microsoft.com/office/drawing/2014/main" id="{BC5EFF41-4465-D9FF-42A5-499AC7EE4E05}"/>
            </a:ext>
          </a:extLst>
        </cdr:cNvPr>
        <cdr:cNvCxnSpPr/>
      </cdr:nvCxnSpPr>
      <cdr:spPr>
        <a:xfrm xmlns:a="http://schemas.openxmlformats.org/drawingml/2006/main">
          <a:off x="2408266" y="1483054"/>
          <a:ext cx="229932" cy="0"/>
        </a:xfrm>
        <a:prstGeom xmlns:a="http://schemas.openxmlformats.org/drawingml/2006/main" prst="line">
          <a:avLst/>
        </a:prstGeom>
      </cdr:spPr>
      <cdr:style>
        <a:lnRef xmlns:a="http://schemas.openxmlformats.org/drawingml/2006/main" idx="3">
          <a:schemeClr val="accent6"/>
        </a:lnRef>
        <a:fillRef xmlns:a="http://schemas.openxmlformats.org/drawingml/2006/main" idx="0">
          <a:schemeClr val="accent6"/>
        </a:fillRef>
        <a:effectRef xmlns:a="http://schemas.openxmlformats.org/drawingml/2006/main" idx="2">
          <a:schemeClr val="accent6"/>
        </a:effectRef>
        <a:fontRef xmlns:a="http://schemas.openxmlformats.org/drawingml/2006/main" idx="minor">
          <a:schemeClr val="tx1"/>
        </a:fontRef>
      </cdr:style>
    </cdr:cxnSp>
  </cdr:relSizeAnchor>
  <cdr:relSizeAnchor xmlns:cdr="http://schemas.openxmlformats.org/drawingml/2006/chartDrawing">
    <cdr:from>
      <cdr:x>0.11597</cdr:x>
      <cdr:y>0.54294</cdr:y>
    </cdr:from>
    <cdr:to>
      <cdr:x>0.97203</cdr:x>
      <cdr:y>0.54294</cdr:y>
    </cdr:to>
    <cdr:cxnSp macro="">
      <cdr:nvCxnSpPr>
        <cdr:cNvPr id="5" name="Straight Connector 4">
          <a:extLst xmlns:a="http://schemas.openxmlformats.org/drawingml/2006/main">
            <a:ext uri="{FF2B5EF4-FFF2-40B4-BE49-F238E27FC236}">
              <a16:creationId xmlns:a16="http://schemas.microsoft.com/office/drawing/2014/main" id="{B58FCE69-6368-B9BB-4EDB-4560D1D9E119}"/>
            </a:ext>
          </a:extLst>
        </cdr:cNvPr>
        <cdr:cNvCxnSpPr/>
      </cdr:nvCxnSpPr>
      <cdr:spPr>
        <a:xfrm xmlns:a="http://schemas.openxmlformats.org/drawingml/2006/main">
          <a:off x="580442" y="989487"/>
          <a:ext cx="4284635" cy="0"/>
        </a:xfrm>
        <a:prstGeom xmlns:a="http://schemas.openxmlformats.org/drawingml/2006/main" prst="line">
          <a:avLst/>
        </a:prstGeom>
      </cdr:spPr>
      <cdr:style>
        <a:lnRef xmlns:a="http://schemas.openxmlformats.org/drawingml/2006/main" idx="3">
          <a:schemeClr val="accent6"/>
        </a:lnRef>
        <a:fillRef xmlns:a="http://schemas.openxmlformats.org/drawingml/2006/main" idx="0">
          <a:schemeClr val="accent6"/>
        </a:fillRef>
        <a:effectRef xmlns:a="http://schemas.openxmlformats.org/drawingml/2006/main" idx="2">
          <a:schemeClr val="accent6"/>
        </a:effectRef>
        <a:fontRef xmlns:a="http://schemas.openxmlformats.org/drawingml/2006/main" idx="minor">
          <a:schemeClr val="tx1"/>
        </a:fontRef>
      </cdr:style>
    </cdr:cxnSp>
  </cdr:relSizeAnchor>
</c:userShapes>
</file>

<file path=word/drawings/drawing4.xml><?xml version="1.0" encoding="utf-8"?>
<c:userShapes xmlns:c="http://schemas.openxmlformats.org/drawingml/2006/chart">
  <cdr:relSizeAnchor xmlns:cdr="http://schemas.openxmlformats.org/drawingml/2006/chartDrawing">
    <cdr:from>
      <cdr:x>0.54917</cdr:x>
      <cdr:y>0.90932</cdr:y>
    </cdr:from>
    <cdr:to>
      <cdr:x>0.59511</cdr:x>
      <cdr:y>0.90932</cdr:y>
    </cdr:to>
    <cdr:cxnSp macro="">
      <cdr:nvCxnSpPr>
        <cdr:cNvPr id="3" name="Straight Connector 2">
          <a:extLst xmlns:a="http://schemas.openxmlformats.org/drawingml/2006/main">
            <a:ext uri="{FF2B5EF4-FFF2-40B4-BE49-F238E27FC236}">
              <a16:creationId xmlns:a16="http://schemas.microsoft.com/office/drawing/2014/main" id="{BC5EFF41-4465-D9FF-42A5-499AC7EE4E05}"/>
            </a:ext>
          </a:extLst>
        </cdr:cNvPr>
        <cdr:cNvCxnSpPr/>
      </cdr:nvCxnSpPr>
      <cdr:spPr>
        <a:xfrm xmlns:a="http://schemas.openxmlformats.org/drawingml/2006/main">
          <a:off x="2748630" y="1769201"/>
          <a:ext cx="229933" cy="0"/>
        </a:xfrm>
        <a:prstGeom xmlns:a="http://schemas.openxmlformats.org/drawingml/2006/main" prst="line">
          <a:avLst/>
        </a:prstGeom>
      </cdr:spPr>
      <cdr:style>
        <a:lnRef xmlns:a="http://schemas.openxmlformats.org/drawingml/2006/main" idx="3">
          <a:schemeClr val="accent6"/>
        </a:lnRef>
        <a:fillRef xmlns:a="http://schemas.openxmlformats.org/drawingml/2006/main" idx="0">
          <a:schemeClr val="accent6"/>
        </a:fillRef>
        <a:effectRef xmlns:a="http://schemas.openxmlformats.org/drawingml/2006/main" idx="2">
          <a:schemeClr val="accent6"/>
        </a:effectRef>
        <a:fontRef xmlns:a="http://schemas.openxmlformats.org/drawingml/2006/main" idx="minor">
          <a:schemeClr val="tx1"/>
        </a:fontRef>
      </cdr:style>
    </cdr:cxnSp>
  </cdr:relSizeAnchor>
  <cdr:relSizeAnchor xmlns:cdr="http://schemas.openxmlformats.org/drawingml/2006/chartDrawing">
    <cdr:from>
      <cdr:x>0.13242</cdr:x>
      <cdr:y>0.39744</cdr:y>
    </cdr:from>
    <cdr:to>
      <cdr:x>0.97031</cdr:x>
      <cdr:y>0.39744</cdr:y>
    </cdr:to>
    <cdr:cxnSp macro="">
      <cdr:nvCxnSpPr>
        <cdr:cNvPr id="5" name="Straight Connector 4">
          <a:extLst xmlns:a="http://schemas.openxmlformats.org/drawingml/2006/main">
            <a:ext uri="{FF2B5EF4-FFF2-40B4-BE49-F238E27FC236}">
              <a16:creationId xmlns:a16="http://schemas.microsoft.com/office/drawing/2014/main" id="{B58FCE69-6368-B9BB-4EDB-4560D1D9E119}"/>
            </a:ext>
          </a:extLst>
        </cdr:cNvPr>
        <cdr:cNvCxnSpPr/>
      </cdr:nvCxnSpPr>
      <cdr:spPr>
        <a:xfrm xmlns:a="http://schemas.openxmlformats.org/drawingml/2006/main">
          <a:off x="662772" y="625882"/>
          <a:ext cx="4193698" cy="0"/>
        </a:xfrm>
        <a:prstGeom xmlns:a="http://schemas.openxmlformats.org/drawingml/2006/main" prst="line">
          <a:avLst/>
        </a:prstGeom>
      </cdr:spPr>
      <cdr:style>
        <a:lnRef xmlns:a="http://schemas.openxmlformats.org/drawingml/2006/main" idx="3">
          <a:schemeClr val="accent6"/>
        </a:lnRef>
        <a:fillRef xmlns:a="http://schemas.openxmlformats.org/drawingml/2006/main" idx="0">
          <a:schemeClr val="accent6"/>
        </a:fillRef>
        <a:effectRef xmlns:a="http://schemas.openxmlformats.org/drawingml/2006/main" idx="2">
          <a:schemeClr val="accent6"/>
        </a:effectRef>
        <a:fontRef xmlns:a="http://schemas.openxmlformats.org/drawingml/2006/main" idx="minor">
          <a:schemeClr val="tx1"/>
        </a:fontRef>
      </cdr:style>
    </cdr:cxnSp>
  </cdr:relSizeAnchor>
</c:userShapes>
</file>

<file path=word/drawings/drawing5.xml><?xml version="1.0" encoding="utf-8"?>
<c:userShapes xmlns:c="http://schemas.openxmlformats.org/drawingml/2006/chart">
  <cdr:relSizeAnchor xmlns:cdr="http://schemas.openxmlformats.org/drawingml/2006/chartDrawing">
    <cdr:from>
      <cdr:x>0.4953</cdr:x>
      <cdr:y>0.89442</cdr:y>
    </cdr:from>
    <cdr:to>
      <cdr:x>0.54124</cdr:x>
      <cdr:y>0.89442</cdr:y>
    </cdr:to>
    <cdr:cxnSp macro="">
      <cdr:nvCxnSpPr>
        <cdr:cNvPr id="3" name="Straight Connector 2">
          <a:extLst xmlns:a="http://schemas.openxmlformats.org/drawingml/2006/main">
            <a:ext uri="{FF2B5EF4-FFF2-40B4-BE49-F238E27FC236}">
              <a16:creationId xmlns:a16="http://schemas.microsoft.com/office/drawing/2014/main" id="{BC5EFF41-4465-D9FF-42A5-499AC7EE4E05}"/>
            </a:ext>
          </a:extLst>
        </cdr:cNvPr>
        <cdr:cNvCxnSpPr/>
      </cdr:nvCxnSpPr>
      <cdr:spPr>
        <a:xfrm xmlns:a="http://schemas.openxmlformats.org/drawingml/2006/main">
          <a:off x="2478988" y="1624925"/>
          <a:ext cx="229933" cy="0"/>
        </a:xfrm>
        <a:prstGeom xmlns:a="http://schemas.openxmlformats.org/drawingml/2006/main" prst="line">
          <a:avLst/>
        </a:prstGeom>
      </cdr:spPr>
      <cdr:style>
        <a:lnRef xmlns:a="http://schemas.openxmlformats.org/drawingml/2006/main" idx="3">
          <a:schemeClr val="accent6"/>
        </a:lnRef>
        <a:fillRef xmlns:a="http://schemas.openxmlformats.org/drawingml/2006/main" idx="0">
          <a:schemeClr val="accent6"/>
        </a:fillRef>
        <a:effectRef xmlns:a="http://schemas.openxmlformats.org/drawingml/2006/main" idx="2">
          <a:schemeClr val="accent6"/>
        </a:effectRef>
        <a:fontRef xmlns:a="http://schemas.openxmlformats.org/drawingml/2006/main" idx="minor">
          <a:schemeClr val="tx1"/>
        </a:fontRef>
      </cdr:style>
    </cdr:cxnSp>
  </cdr:relSizeAnchor>
  <cdr:relSizeAnchor xmlns:cdr="http://schemas.openxmlformats.org/drawingml/2006/chartDrawing">
    <cdr:from>
      <cdr:x>0.10986</cdr:x>
      <cdr:y>0.38811</cdr:y>
    </cdr:from>
    <cdr:to>
      <cdr:x>0.97086</cdr:x>
      <cdr:y>0.39184</cdr:y>
    </cdr:to>
    <cdr:cxnSp macro="">
      <cdr:nvCxnSpPr>
        <cdr:cNvPr id="5" name="Straight Connector 4">
          <a:extLst xmlns:a="http://schemas.openxmlformats.org/drawingml/2006/main">
            <a:ext uri="{FF2B5EF4-FFF2-40B4-BE49-F238E27FC236}">
              <a16:creationId xmlns:a16="http://schemas.microsoft.com/office/drawing/2014/main" id="{B58FCE69-6368-B9BB-4EDB-4560D1D9E119}"/>
            </a:ext>
          </a:extLst>
        </cdr:cNvPr>
        <cdr:cNvCxnSpPr/>
      </cdr:nvCxnSpPr>
      <cdr:spPr>
        <a:xfrm xmlns:a="http://schemas.openxmlformats.org/drawingml/2006/main" flipV="1">
          <a:off x="549846" y="705096"/>
          <a:ext cx="4309365" cy="6776"/>
        </a:xfrm>
        <a:prstGeom xmlns:a="http://schemas.openxmlformats.org/drawingml/2006/main" prst="line">
          <a:avLst/>
        </a:prstGeom>
      </cdr:spPr>
      <cdr:style>
        <a:lnRef xmlns:a="http://schemas.openxmlformats.org/drawingml/2006/main" idx="3">
          <a:schemeClr val="accent6"/>
        </a:lnRef>
        <a:fillRef xmlns:a="http://schemas.openxmlformats.org/drawingml/2006/main" idx="0">
          <a:schemeClr val="accent6"/>
        </a:fillRef>
        <a:effectRef xmlns:a="http://schemas.openxmlformats.org/drawingml/2006/main" idx="2">
          <a:schemeClr val="accent6"/>
        </a:effectRef>
        <a:fontRef xmlns:a="http://schemas.openxmlformats.org/drawingml/2006/main" idx="minor">
          <a:schemeClr val="tx1"/>
        </a:fontRef>
      </cdr:style>
    </cdr:cxnSp>
  </cdr:relSizeAnchor>
</c:userShapes>
</file>

<file path=word/drawings/drawing6.xml><?xml version="1.0" encoding="utf-8"?>
<c:userShapes xmlns:c="http://schemas.openxmlformats.org/drawingml/2006/chart">
  <cdr:relSizeAnchor xmlns:cdr="http://schemas.openxmlformats.org/drawingml/2006/chartDrawing">
    <cdr:from>
      <cdr:x>0.15282</cdr:x>
      <cdr:y>0.31852</cdr:y>
    </cdr:from>
    <cdr:to>
      <cdr:x>0.96684</cdr:x>
      <cdr:y>0.32122</cdr:y>
    </cdr:to>
    <cdr:cxnSp macro="">
      <cdr:nvCxnSpPr>
        <cdr:cNvPr id="5" name="Straight Connector 4">
          <a:extLst xmlns:a="http://schemas.openxmlformats.org/drawingml/2006/main">
            <a:ext uri="{FF2B5EF4-FFF2-40B4-BE49-F238E27FC236}">
              <a16:creationId xmlns:a16="http://schemas.microsoft.com/office/drawing/2014/main" id="{B58FCE69-6368-B9BB-4EDB-4560D1D9E119}"/>
            </a:ext>
          </a:extLst>
        </cdr:cNvPr>
        <cdr:cNvCxnSpPr/>
      </cdr:nvCxnSpPr>
      <cdr:spPr>
        <a:xfrm xmlns:a="http://schemas.openxmlformats.org/drawingml/2006/main" flipV="1">
          <a:off x="738302" y="412615"/>
          <a:ext cx="3932596" cy="3497"/>
        </a:xfrm>
        <a:prstGeom xmlns:a="http://schemas.openxmlformats.org/drawingml/2006/main" prst="line">
          <a:avLst/>
        </a:prstGeom>
      </cdr:spPr>
      <cdr:style>
        <a:lnRef xmlns:a="http://schemas.openxmlformats.org/drawingml/2006/main" idx="3">
          <a:schemeClr val="accent6"/>
        </a:lnRef>
        <a:fillRef xmlns:a="http://schemas.openxmlformats.org/drawingml/2006/main" idx="0">
          <a:schemeClr val="accent6"/>
        </a:fillRef>
        <a:effectRef xmlns:a="http://schemas.openxmlformats.org/drawingml/2006/main" idx="2">
          <a:schemeClr val="accent6"/>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87264-3559-45F2-A668-0C4544633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Sci_Bull</Template>
  <TotalTime>64</TotalTime>
  <Pages>1</Pages>
  <Words>3570</Words>
  <Characters>20350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VAPOR LIQUID</vt:lpstr>
    </vt:vector>
  </TitlesOfParts>
  <Company>U.P.B.</Company>
  <LinksUpToDate>false</LinksUpToDate>
  <CharactersWithSpaces>23873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VAPOR LIQUID</dc:title>
  <dc:subject/>
  <dc:creator>Gabi Moldovan</dc:creator>
  <cp:keywords/>
  <dc:description/>
  <cp:lastModifiedBy>ANA MARIA CENJA (85668)</cp:lastModifiedBy>
  <cp:revision>9</cp:revision>
  <cp:lastPrinted>2025-05-08T12:33:00Z</cp:lastPrinted>
  <dcterms:created xsi:type="dcterms:W3CDTF">2025-05-08T09:16:00Z</dcterms:created>
  <dcterms:modified xsi:type="dcterms:W3CDTF">2025-05-08T12:33:00Z</dcterms:modified>
</cp:coreProperties>
</file>